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3B21" w14:textId="462FEE84" w:rsidR="00870475" w:rsidRDefault="00FE50FD" w:rsidP="00870475">
      <w:pPr>
        <w:pStyle w:val="Bullet"/>
      </w:pPr>
      <w:r>
        <w:t>T</w:t>
      </w:r>
      <w:r w:rsidR="00870475" w:rsidRPr="00870475">
        <w:t xml:space="preserve">he </w:t>
      </w:r>
      <w:r w:rsidR="004F16FB">
        <w:t>risk of</w:t>
      </w:r>
      <w:r w:rsidR="00870475" w:rsidRPr="00870475">
        <w:t xml:space="preserve"> inflation expectations </w:t>
      </w:r>
      <w:r w:rsidR="00857EB0">
        <w:t>de-</w:t>
      </w:r>
      <w:r>
        <w:t>anchor</w:t>
      </w:r>
      <w:r w:rsidR="004F16FB">
        <w:t>ing –</w:t>
      </w:r>
      <w:r>
        <w:t xml:space="preserve"> </w:t>
      </w:r>
      <w:r w:rsidR="004F16FB">
        <w:t>driven by</w:t>
      </w:r>
      <w:r>
        <w:t xml:space="preserve"> the surge in energy prices from the </w:t>
      </w:r>
      <w:r w:rsidR="004F16FB">
        <w:t xml:space="preserve">Middle East </w:t>
      </w:r>
      <w:r>
        <w:t>conflict</w:t>
      </w:r>
      <w:r w:rsidR="004F16FB">
        <w:t xml:space="preserve"> –</w:t>
      </w:r>
      <w:r>
        <w:t xml:space="preserve"> will</w:t>
      </w:r>
      <w:r w:rsidR="004F16FB">
        <w:t xml:space="preserve"> likely</w:t>
      </w:r>
      <w:r>
        <w:t xml:space="preserve"> </w:t>
      </w:r>
      <w:r w:rsidR="00870475" w:rsidRPr="00870475">
        <w:t xml:space="preserve">prompt the Bank of England to </w:t>
      </w:r>
      <w:r w:rsidR="004F16FB">
        <w:t xml:space="preserve">maintain current </w:t>
      </w:r>
      <w:r>
        <w:t xml:space="preserve">interest rates </w:t>
      </w:r>
      <w:r w:rsidR="00870475" w:rsidRPr="00870475">
        <w:t>well into next year</w:t>
      </w:r>
      <w:r w:rsidR="00870475">
        <w:t>.</w:t>
      </w:r>
    </w:p>
    <w:p w14:paraId="1A8ED471" w14:textId="46F00C89" w:rsidR="00870475" w:rsidRDefault="00B6199C" w:rsidP="00870475">
      <w:pPr>
        <w:pStyle w:val="Bullet"/>
      </w:pPr>
      <w:r>
        <w:t xml:space="preserve">The </w:t>
      </w:r>
      <w:r w:rsidR="00857EB0">
        <w:t>minutes from today's</w:t>
      </w:r>
      <w:r>
        <w:t xml:space="preserve"> M</w:t>
      </w:r>
      <w:r w:rsidR="004F16FB">
        <w:t xml:space="preserve">onetary </w:t>
      </w:r>
      <w:r>
        <w:t>P</w:t>
      </w:r>
      <w:r w:rsidR="004F16FB">
        <w:t xml:space="preserve">olicy </w:t>
      </w:r>
      <w:r>
        <w:t>C</w:t>
      </w:r>
      <w:r w:rsidR="004F16FB">
        <w:t>ommittee</w:t>
      </w:r>
      <w:r>
        <w:t xml:space="preserve"> meeting </w:t>
      </w:r>
      <w:r w:rsidR="004F16FB">
        <w:t>emphasised</w:t>
      </w:r>
      <w:r>
        <w:t xml:space="preserve"> </w:t>
      </w:r>
      <w:r w:rsidR="004F16FB">
        <w:t>a desire for</w:t>
      </w:r>
      <w:r w:rsidR="00FE50FD">
        <w:t xml:space="preserve"> flexibility </w:t>
      </w:r>
      <w:r w:rsidR="004F16FB">
        <w:t>amid</w:t>
      </w:r>
      <w:r w:rsidR="00FE50FD">
        <w:t xml:space="preserve"> </w:t>
      </w:r>
      <w:r w:rsidR="004F16FB">
        <w:t xml:space="preserve">heightened </w:t>
      </w:r>
      <w:r w:rsidR="00FE50FD">
        <w:t>uncertainty around growth and inflation</w:t>
      </w:r>
      <w:r w:rsidR="00870475">
        <w:t>.</w:t>
      </w:r>
      <w:r>
        <w:t xml:space="preserve"> While a hike is </w:t>
      </w:r>
      <w:r w:rsidR="00FE50FD">
        <w:t>possible</w:t>
      </w:r>
      <w:r>
        <w:t>, we think the fragile economic backdrop</w:t>
      </w:r>
      <w:r w:rsidR="00BB3CE3">
        <w:t xml:space="preserve"> and </w:t>
      </w:r>
      <w:r w:rsidR="004F16FB">
        <w:t xml:space="preserve">already restrictive </w:t>
      </w:r>
      <w:r w:rsidR="00BB3CE3">
        <w:t xml:space="preserve">policy </w:t>
      </w:r>
      <w:r w:rsidR="004F16FB">
        <w:t>suggest</w:t>
      </w:r>
      <w:r w:rsidR="00BB3CE3">
        <w:t xml:space="preserve"> a prolonged hold is more </w:t>
      </w:r>
      <w:r w:rsidR="004F16FB">
        <w:t xml:space="preserve">probable </w:t>
      </w:r>
      <w:r w:rsidR="00BB3CE3">
        <w:t>than a pre-emptive hike.</w:t>
      </w:r>
      <w:r w:rsidR="00FE50FD">
        <w:t xml:space="preserve"> </w:t>
      </w:r>
    </w:p>
    <w:p w14:paraId="2B1ED3BF" w14:textId="5F2BF089" w:rsidR="00FE50FD" w:rsidRDefault="00870475" w:rsidP="00870475">
      <w:r w:rsidRPr="00870475">
        <w:t xml:space="preserve">The minutes </w:t>
      </w:r>
      <w:r w:rsidR="00C060D6">
        <w:t xml:space="preserve">of today's MPC meeting </w:t>
      </w:r>
      <w:r w:rsidR="004F16FB">
        <w:t>showed</w:t>
      </w:r>
      <w:r w:rsidR="004F16FB" w:rsidRPr="00870475">
        <w:t xml:space="preserve"> </w:t>
      </w:r>
      <w:r w:rsidRPr="00870475">
        <w:t xml:space="preserve">the conflict in the Middle East has become the key issue for </w:t>
      </w:r>
      <w:r w:rsidR="00F003CA">
        <w:t>all</w:t>
      </w:r>
      <w:r w:rsidRPr="00870475">
        <w:t xml:space="preserve"> committee members</w:t>
      </w:r>
      <w:r w:rsidR="00F003CA">
        <w:t xml:space="preserve">, </w:t>
      </w:r>
      <w:r w:rsidR="004F16FB">
        <w:t>who</w:t>
      </w:r>
      <w:r w:rsidR="00F003CA">
        <w:t xml:space="preserve"> agreed it was too soon to draw firm conclusions about the appropriate policy response</w:t>
      </w:r>
      <w:r w:rsidR="004F16FB">
        <w:t xml:space="preserve"> –</w:t>
      </w:r>
      <w:r w:rsidR="00FE50FD">
        <w:t xml:space="preserve"> a similar message</w:t>
      </w:r>
      <w:r w:rsidR="004F16FB">
        <w:t xml:space="preserve"> to that</w:t>
      </w:r>
      <w:r w:rsidR="00FE50FD">
        <w:t xml:space="preserve"> delivered by the </w:t>
      </w:r>
      <w:hyperlink r:id="rId10" w:history="1">
        <w:r w:rsidR="00FE50FD" w:rsidRPr="0081031E">
          <w:rPr>
            <w:rStyle w:val="Hyperlink"/>
          </w:rPr>
          <w:t>Federal Reserve</w:t>
        </w:r>
      </w:hyperlink>
      <w:r w:rsidR="00FE50FD">
        <w:t xml:space="preserve"> on Wednesday</w:t>
      </w:r>
      <w:r w:rsidR="00F003CA">
        <w:t xml:space="preserve">. </w:t>
      </w:r>
    </w:p>
    <w:p w14:paraId="46B3D368" w14:textId="4DBE372C" w:rsidR="00A73E05" w:rsidRDefault="00F003CA" w:rsidP="00870475">
      <w:r>
        <w:t xml:space="preserve">The </w:t>
      </w:r>
      <w:r w:rsidR="004F16FB">
        <w:t>individual comments</w:t>
      </w:r>
      <w:r w:rsidR="00FE50FD">
        <w:t xml:space="preserve"> </w:t>
      </w:r>
      <w:r w:rsidR="004F16FB">
        <w:t xml:space="preserve">by MPC </w:t>
      </w:r>
      <w:r>
        <w:t xml:space="preserve">members </w:t>
      </w:r>
      <w:r w:rsidR="004F16FB">
        <w:t xml:space="preserve">stuck to </w:t>
      </w:r>
      <w:r>
        <w:t>this theme, setting out a range of potential scenarios</w:t>
      </w:r>
      <w:r w:rsidR="004F16FB">
        <w:t>,</w:t>
      </w:r>
      <w:r>
        <w:t xml:space="preserve"> but mostly avoiding committing to any of them. That said, the more hawkish members of the committee, particularly Huw Pill and Megan Greene, did suggest </w:t>
      </w:r>
      <w:r w:rsidR="00857EB0">
        <w:t>the fallout from the Middle East conflict</w:t>
      </w:r>
      <w:r>
        <w:t xml:space="preserve"> has added to their pre-existing concerns about inflation persistence. This likely explains the relatively hawkish initial response from financial markets</w:t>
      </w:r>
      <w:r w:rsidR="00857EB0">
        <w:t>,</w:t>
      </w:r>
      <w:r w:rsidR="00FE50FD">
        <w:t xml:space="preserve"> </w:t>
      </w:r>
      <w:r w:rsidR="00857EB0">
        <w:t>as</w:t>
      </w:r>
      <w:r w:rsidR="00FE50FD">
        <w:t xml:space="preserve"> the yield on the </w:t>
      </w:r>
      <w:r w:rsidR="00313915">
        <w:t>two</w:t>
      </w:r>
      <w:r w:rsidR="00FE50FD">
        <w:t xml:space="preserve">-year gilt </w:t>
      </w:r>
      <w:r w:rsidR="00857EB0">
        <w:t xml:space="preserve">spiked </w:t>
      </w:r>
      <w:r w:rsidR="00FE50FD">
        <w:t>30bps</w:t>
      </w:r>
      <w:r>
        <w:t>.</w:t>
      </w:r>
    </w:p>
    <w:p w14:paraId="70635D25" w14:textId="4D1CF511" w:rsidR="00023B17" w:rsidRDefault="00023B17" w:rsidP="00023B17">
      <w:r>
        <w:t>Before the</w:t>
      </w:r>
      <w:r w:rsidR="00857EB0">
        <w:t xml:space="preserve"> outbreak of war</w:t>
      </w:r>
      <w:r>
        <w:t xml:space="preserve">, most of the committee had a bias to loosen further due to the weak outlook for </w:t>
      </w:r>
      <w:r w:rsidR="00FE50FD">
        <w:t xml:space="preserve">the economy </w:t>
      </w:r>
      <w:r>
        <w:t xml:space="preserve">and </w:t>
      </w:r>
      <w:r w:rsidR="00E80A33">
        <w:t xml:space="preserve">the </w:t>
      </w:r>
      <w:r>
        <w:t xml:space="preserve">fragile labour market. Neither of these concerns have </w:t>
      </w:r>
      <w:r w:rsidR="00857EB0">
        <w:t>dissipated</w:t>
      </w:r>
      <w:r>
        <w:t>. If the conflict proves short-lived and oil and gas prices drop back rapidly, the dovish majority could return to their original position.</w:t>
      </w:r>
    </w:p>
    <w:p w14:paraId="3CCE9FC3" w14:textId="06E21FE7" w:rsidR="00A73E05" w:rsidRDefault="00FE50FD" w:rsidP="00A73E05">
      <w:r>
        <w:t xml:space="preserve">Our baseline is that global </w:t>
      </w:r>
      <w:r w:rsidR="00023B17">
        <w:t xml:space="preserve">oil and </w:t>
      </w:r>
      <w:r>
        <w:t xml:space="preserve">natural </w:t>
      </w:r>
      <w:r w:rsidR="00023B17">
        <w:t xml:space="preserve">gas prices will stay higher for longer. </w:t>
      </w:r>
      <w:r w:rsidR="00857EB0">
        <w:t>O</w:t>
      </w:r>
      <w:r w:rsidR="00752995">
        <w:t xml:space="preserve">ur </w:t>
      </w:r>
      <w:r w:rsidR="00857EB0">
        <w:t>updated</w:t>
      </w:r>
      <w:r w:rsidR="00752995">
        <w:t xml:space="preserve"> forecast</w:t>
      </w:r>
      <w:r w:rsidR="00857EB0">
        <w:t xml:space="preserve">, which we plan to publish tomorrow, </w:t>
      </w:r>
      <w:r w:rsidR="00752995">
        <w:t>assume</w:t>
      </w:r>
      <w:r w:rsidR="00857EB0">
        <w:t>s</w:t>
      </w:r>
      <w:r w:rsidR="00752995">
        <w:t xml:space="preserve"> that the Brent crude oil price averages $113 a barrel in Q2</w:t>
      </w:r>
      <w:r w:rsidR="00857EB0">
        <w:t>,</w:t>
      </w:r>
      <w:r w:rsidR="00752995">
        <w:t xml:space="preserve"> </w:t>
      </w:r>
      <w:r w:rsidR="00857EB0">
        <w:t>while</w:t>
      </w:r>
      <w:r w:rsidR="00752995">
        <w:t xml:space="preserve"> higher wholesale gas prices cause a 19% increase in the </w:t>
      </w:r>
      <w:r w:rsidR="000C56EA">
        <w:t xml:space="preserve">Ofgem </w:t>
      </w:r>
      <w:r w:rsidR="00752995">
        <w:t xml:space="preserve">energy price cap in July. Under these assumptions, we expect </w:t>
      </w:r>
      <w:r>
        <w:t xml:space="preserve">UK </w:t>
      </w:r>
      <w:r w:rsidR="00752995">
        <w:t xml:space="preserve">CPI to rise to just above 4% </w:t>
      </w:r>
      <w:r>
        <w:t xml:space="preserve">y/y </w:t>
      </w:r>
      <w:r w:rsidR="00752995">
        <w:t xml:space="preserve">in H2. </w:t>
      </w:r>
    </w:p>
    <w:p w14:paraId="4C19FFA4" w14:textId="1D0E860E" w:rsidR="00870475" w:rsidRDefault="00870475" w:rsidP="00A73E05">
      <w:pPr>
        <w:pStyle w:val="ExhibitTitle"/>
        <w:jc w:val="center"/>
      </w:pPr>
      <w:bookmarkStart w:id="0" w:name="_Ref224819289"/>
      <w:r>
        <w:t xml:space="preserve">Chart </w:t>
      </w:r>
      <w:r>
        <w:fldChar w:fldCharType="begin"/>
      </w:r>
      <w:r w:rsidR="006F5E66">
        <w:instrText>SEQ CHART</w:instrText>
      </w:r>
      <w:r>
        <w:fldChar w:fldCharType="separate"/>
      </w:r>
      <w:r w:rsidR="006F5E66">
        <w:t>1</w:t>
      </w:r>
      <w:r>
        <w:fldChar w:fldCharType="end"/>
      </w:r>
      <w:bookmarkEnd w:id="0"/>
      <w:r>
        <w:t xml:space="preserve">: </w:t>
      </w:r>
      <w:r w:rsidR="00023B17">
        <w:t>We now expect the MPC to hold Bank Rate at 3.75% until well into next year</w:t>
      </w:r>
    </w:p>
    <w:p w14:paraId="57132B92" w14:textId="38257F0F" w:rsidR="00A73E05" w:rsidRDefault="00A73E05" w:rsidP="00A73E05">
      <w:pPr>
        <w:spacing w:after="0"/>
        <w:jc w:val="center"/>
      </w:pPr>
      <w:r>
        <w:rPr>
          <w:noProof/>
        </w:rPr>
        <w:drawing>
          <wp:inline distT="0" distB="0" distL="0" distR="0" wp14:anchorId="11882A15" wp14:editId="46B3D70D">
            <wp:extent cx="4006964" cy="3140642"/>
            <wp:effectExtent l="0" t="0" r="0" b="3175"/>
            <wp:docPr id="16326576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7680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FCC5" w14:textId="7206BE7C" w:rsidR="00870475" w:rsidRDefault="00A73E05" w:rsidP="00A73E05">
      <w:pPr>
        <w:pStyle w:val="ExhibitSource"/>
        <w:jc w:val="center"/>
      </w:pPr>
      <w:r>
        <w:t>Sources: Oxford Economics, Haver Analytics</w:t>
      </w:r>
    </w:p>
    <w:p w14:paraId="6BC17D50" w14:textId="0F4D12AC" w:rsidR="00870475" w:rsidRDefault="00870475" w:rsidP="00870475">
      <w:pPr>
        <w:pStyle w:val="ExhibitSource"/>
        <w:sectPr w:rsidR="00870475" w:rsidSect="00A73E05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2665" w:right="1276" w:bottom="958" w:left="1134" w:header="198" w:footer="442" w:gutter="0"/>
          <w:cols w:space="708"/>
          <w:titlePg/>
          <w:docGrid w:linePitch="360"/>
        </w:sectPr>
      </w:pPr>
    </w:p>
    <w:p w14:paraId="1D489D62" w14:textId="40983BE0" w:rsidR="00C060D6" w:rsidRDefault="00C060D6" w:rsidP="00C45CAD">
      <w:r>
        <w:lastRenderedPageBreak/>
        <w:t>Given the experience of 2022-2023 and the risk that a period of high inflation could cause inflation expectations to become de-anchored, we now expect the committee to keep Bank Rate on hold at 3.75% for the rest of this year and well into 2027 (</w:t>
      </w:r>
      <w:r w:rsidRPr="00616FB9">
        <w:rPr>
          <w:b/>
          <w:color w:val="003469"/>
        </w:rPr>
        <w:fldChar w:fldCharType="begin"/>
      </w:r>
      <w:r w:rsidR="00616FB9" w:rsidRPr="00616FB9">
        <w:rPr>
          <w:b/>
          <w:color w:val="003469"/>
        </w:rPr>
        <w:instrText xml:space="preserve">REF _Ref224819289 \h \* Charformat </w:instrText>
      </w:r>
      <w:r w:rsidRPr="00616FB9">
        <w:rPr>
          <w:b/>
          <w:color w:val="003469"/>
        </w:rPr>
      </w:r>
      <w:r w:rsidRPr="00616FB9">
        <w:rPr>
          <w:b/>
          <w:color w:val="003469"/>
        </w:rPr>
        <w:fldChar w:fldCharType="separate"/>
      </w:r>
      <w:r w:rsidR="00616FB9" w:rsidRPr="00616FB9">
        <w:rPr>
          <w:b/>
          <w:color w:val="003469"/>
        </w:rPr>
        <w:t>Chart 1</w:t>
      </w:r>
      <w:r w:rsidRPr="00616FB9">
        <w:rPr>
          <w:b/>
          <w:color w:val="003469"/>
        </w:rPr>
        <w:fldChar w:fldCharType="end"/>
      </w:r>
      <w:r>
        <w:t>).</w:t>
      </w:r>
    </w:p>
    <w:p w14:paraId="690DD36D" w14:textId="68EA7B2D" w:rsidR="00E914DE" w:rsidRDefault="00EF0CB0" w:rsidP="00C45CAD">
      <w:r>
        <w:t xml:space="preserve">The minutes made clear that the next move </w:t>
      </w:r>
      <w:r w:rsidR="00FE50FD">
        <w:t>could either be a hike or cut</w:t>
      </w:r>
      <w:r>
        <w:t xml:space="preserve">. </w:t>
      </w:r>
      <w:r w:rsidR="00FE50FD">
        <w:t>W</w:t>
      </w:r>
      <w:r>
        <w:t>hile we agree that a</w:t>
      </w:r>
      <w:r w:rsidR="00C45CAD">
        <w:t xml:space="preserve"> rate hike </w:t>
      </w:r>
      <w:r w:rsidR="00FE50FD">
        <w:t>this year is possible depend</w:t>
      </w:r>
      <w:r w:rsidR="00857EB0">
        <w:t>ing</w:t>
      </w:r>
      <w:r w:rsidR="00FE50FD">
        <w:t xml:space="preserve"> on the duration of the conflict in the Middle East</w:t>
      </w:r>
      <w:r w:rsidR="00C45CAD">
        <w:t xml:space="preserve">, it's not our central forecast. </w:t>
      </w:r>
      <w:r w:rsidR="00E914DE">
        <w:t xml:space="preserve">The argument in favour of </w:t>
      </w:r>
      <w:r w:rsidR="00857EB0">
        <w:t xml:space="preserve">a </w:t>
      </w:r>
      <w:r w:rsidR="00E914DE">
        <w:t xml:space="preserve">hike is that it would </w:t>
      </w:r>
      <w:r w:rsidR="00857EB0">
        <w:t xml:space="preserve">be </w:t>
      </w:r>
      <w:r w:rsidR="00E914DE">
        <w:t xml:space="preserve">a pre-emptive </w:t>
      </w:r>
      <w:r w:rsidR="00FE50FD">
        <w:t xml:space="preserve">move </w:t>
      </w:r>
      <w:r w:rsidR="00E914DE">
        <w:t xml:space="preserve">against the risk of inflation expectations becoming de-anchored. </w:t>
      </w:r>
      <w:r w:rsidR="00056D61">
        <w:t>W</w:t>
      </w:r>
      <w:r w:rsidR="00E914DE">
        <w:t xml:space="preserve">hile we do expect some committee members to back this </w:t>
      </w:r>
      <w:r w:rsidR="00FE50FD">
        <w:t>view</w:t>
      </w:r>
      <w:r w:rsidR="00E914DE">
        <w:t>, we doubt it would generate majority support unless there was clear evidence that expectations were following this path.</w:t>
      </w:r>
    </w:p>
    <w:p w14:paraId="41661582" w14:textId="395BC949" w:rsidR="00C45CAD" w:rsidRDefault="00E914DE" w:rsidP="00C45CAD">
      <w:r>
        <w:t xml:space="preserve">Governor Andrew Bailey remarked that "the starting point for this shock is a real economy with limited pricing power". This is in marked contrast to </w:t>
      </w:r>
      <w:r w:rsidR="00A34204">
        <w:t xml:space="preserve">the </w:t>
      </w:r>
      <w:r>
        <w:t>2022-2023</w:t>
      </w:r>
      <w:r w:rsidR="00A34204">
        <w:t xml:space="preserve"> episode</w:t>
      </w:r>
      <w:r>
        <w:t>. I</w:t>
      </w:r>
      <w:r w:rsidR="00C45CAD">
        <w:t xml:space="preserve">f our baseline forecast plays out, </w:t>
      </w:r>
      <w:r>
        <w:t xml:space="preserve">pricing power will likely weaken further because </w:t>
      </w:r>
      <w:r w:rsidR="00C45CAD">
        <w:t xml:space="preserve">activity is likely to be </w:t>
      </w:r>
      <w:r>
        <w:t>softer</w:t>
      </w:r>
      <w:r w:rsidR="00C45CAD">
        <w:t xml:space="preserve"> </w:t>
      </w:r>
      <w:r w:rsidR="00857EB0">
        <w:t xml:space="preserve">– </w:t>
      </w:r>
      <w:r w:rsidR="00C45CAD">
        <w:t>we forecast GDP growth of just 0.4% this year</w:t>
      </w:r>
      <w:r w:rsidR="00857EB0">
        <w:t xml:space="preserve"> –</w:t>
      </w:r>
      <w:r w:rsidR="00C45CAD">
        <w:t xml:space="preserve"> and unemployment is </w:t>
      </w:r>
      <w:r w:rsidR="006019D2">
        <w:t>set</w:t>
      </w:r>
      <w:r w:rsidR="00C45CAD">
        <w:t xml:space="preserve"> to rise further.</w:t>
      </w:r>
    </w:p>
    <w:p w14:paraId="5D18B10A" w14:textId="011C2E2E" w:rsidR="00870475" w:rsidRDefault="00E914DE" w:rsidP="00870475">
      <w:r>
        <w:t xml:space="preserve">The other contrast with 2022-2023 is the starting point for interest rates. The </w:t>
      </w:r>
      <w:r w:rsidR="001E12A4">
        <w:t xml:space="preserve">committee </w:t>
      </w:r>
      <w:r>
        <w:t>feels</w:t>
      </w:r>
      <w:r w:rsidR="001E12A4">
        <w:t xml:space="preserve"> that the current policy rate </w:t>
      </w:r>
      <w:r>
        <w:t>i</w:t>
      </w:r>
      <w:r w:rsidR="001E12A4">
        <w:t>s "somewhat restrictive"</w:t>
      </w:r>
      <w:r>
        <w:t>, whereas the previous energy shock took place against a backdrop of very expansionary monetary policy</w:t>
      </w:r>
      <w:r w:rsidR="00BA5FF9">
        <w:t xml:space="preserve">, as well as </w:t>
      </w:r>
      <w:r w:rsidR="00C50068">
        <w:t xml:space="preserve">generous </w:t>
      </w:r>
      <w:r w:rsidR="00BA5FF9">
        <w:t>fiscal support to cushion the impact of higher energy bills on households and firms</w:t>
      </w:r>
      <w:r>
        <w:t>.</w:t>
      </w:r>
      <w:r w:rsidR="00BA5A65">
        <w:t xml:space="preserve"> So the need to hike rates looks less pressing from that perspective too</w:t>
      </w:r>
      <w:r w:rsidR="00870475">
        <w:t>.</w:t>
      </w:r>
    </w:p>
    <w:p w14:paraId="158E89E8" w14:textId="2C879BCB" w:rsidR="00BA5A65" w:rsidRDefault="00BA5A65" w:rsidP="00870475">
      <w:r>
        <w:t xml:space="preserve">On balance, therefore, we think the most likely outcome is that the MPC settles into a long period of unchanged rates. </w:t>
      </w:r>
      <w:r w:rsidR="009A6257">
        <w:t>If our oil and gas price assumptions are in the right ballpark</w:t>
      </w:r>
      <w:r w:rsidR="001E7C3B">
        <w:t>,</w:t>
      </w:r>
      <w:r w:rsidR="009A6257">
        <w:t xml:space="preserve"> g</w:t>
      </w:r>
      <w:r w:rsidR="0044591B">
        <w:t xml:space="preserve">iven the concerns about inflation expectations we think the committee will be reluctant to loosen policy again until </w:t>
      </w:r>
      <w:r w:rsidR="00857EB0">
        <w:t xml:space="preserve">three factors align: </w:t>
      </w:r>
      <w:r w:rsidR="0044591B">
        <w:t>headline inflation has dropped back to the 2% target</w:t>
      </w:r>
      <w:r w:rsidR="00857EB0">
        <w:t>;</w:t>
      </w:r>
      <w:r w:rsidR="0044591B">
        <w:t xml:space="preserve"> there are signs that core inflation is under control</w:t>
      </w:r>
      <w:r w:rsidR="00857EB0">
        <w:t>;</w:t>
      </w:r>
      <w:r w:rsidR="0044591B">
        <w:t xml:space="preserve"> and the MPC is content that pay growth is close to a target-consistent pace. Under our baseline forecast, these conditions would </w:t>
      </w:r>
      <w:r w:rsidR="00857EB0">
        <w:t xml:space="preserve">only </w:t>
      </w:r>
      <w:r w:rsidR="0044591B">
        <w:t>be satisfied in H2 202</w:t>
      </w:r>
      <w:r w:rsidR="000C39CB">
        <w:t>7</w:t>
      </w:r>
      <w:r w:rsidR="0044591B">
        <w:t>.</w:t>
      </w:r>
    </w:p>
    <w:sectPr w:rsidR="00BA5A65" w:rsidSect="00A73E05">
      <w:pgSz w:w="11906" w:h="16838"/>
      <w:pgMar w:top="1417" w:right="1276" w:bottom="95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43B09" w14:textId="77777777" w:rsidR="00870475" w:rsidRDefault="00870475" w:rsidP="00870475">
      <w:pPr>
        <w:spacing w:before="0" w:after="0"/>
      </w:pPr>
      <w:r>
        <w:separator/>
      </w:r>
    </w:p>
  </w:endnote>
  <w:endnote w:type="continuationSeparator" w:id="0">
    <w:p w14:paraId="72346B58" w14:textId="77777777" w:rsidR="00870475" w:rsidRDefault="00870475" w:rsidP="0087047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C95AC" w14:textId="212A77C3" w:rsidR="00870475" w:rsidRPr="00870475" w:rsidRDefault="00870475" w:rsidP="00870475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  <w:r>
      <w:tab/>
      <w:t>Andrew Goodwin - agoodwin@oxfordeconomics.com</w:t>
    </w:r>
    <w:r w:rsidRPr="00870475">
      <w:rPr>
        <w:noProof/>
      </w:rPr>
      <w:drawing>
        <wp:anchor distT="0" distB="0" distL="114300" distR="114300" simplePos="0" relativeHeight="251661312" behindDoc="0" locked="0" layoutInCell="1" allowOverlap="1" wp14:anchorId="75412B82" wp14:editId="602F18DB">
          <wp:simplePos x="0" y="0"/>
          <wp:positionH relativeFrom="margin">
            <wp:posOffset>5077460</wp:posOffset>
          </wp:positionH>
          <wp:positionV relativeFrom="margin">
            <wp:posOffset>9246870</wp:posOffset>
          </wp:positionV>
          <wp:extent cx="1657498" cy="234000"/>
          <wp:effectExtent l="0" t="0" r="0" b="0"/>
          <wp:wrapSquare wrapText="bothSides"/>
          <wp:docPr id="45239146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361821" name="Graphic 209136182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498" cy="23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DA2B" w14:textId="311EB58E" w:rsidR="00870475" w:rsidRDefault="00870475" w:rsidP="00870475">
    <w:pPr>
      <w:pStyle w:val="Author"/>
    </w:pPr>
    <w:r>
      <w:t>Andrew Goodwin</w:t>
    </w:r>
    <w:r w:rsidR="00E212B1">
      <w:t xml:space="preserve"> - </w:t>
    </w:r>
    <w:r>
      <w:t>Chief UK Economist</w:t>
    </w:r>
    <w:r w:rsidR="00E212B1">
      <w:t xml:space="preserve"> - </w:t>
    </w:r>
    <w:r>
      <w:t>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8C11F" w14:textId="77777777" w:rsidR="00870475" w:rsidRDefault="00870475" w:rsidP="00870475">
      <w:pPr>
        <w:spacing w:before="0" w:after="0"/>
      </w:pPr>
      <w:r>
        <w:separator/>
      </w:r>
    </w:p>
  </w:footnote>
  <w:footnote w:type="continuationSeparator" w:id="0">
    <w:p w14:paraId="06C04450" w14:textId="77777777" w:rsidR="00870475" w:rsidRDefault="00870475" w:rsidP="0087047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D9932" w14:textId="77777777" w:rsidR="00870475" w:rsidRDefault="00870475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5474" w14:textId="35798227" w:rsidR="00870475" w:rsidRDefault="00870475" w:rsidP="00870475">
    <w:pPr>
      <w:pStyle w:val="Headline"/>
      <w:spacing w:before="120"/>
      <w:ind w:right="-1000"/>
    </w:pPr>
    <w:r w:rsidRPr="00870475">
      <w:rPr>
        <w:noProof/>
      </w:rPr>
      <w:drawing>
        <wp:anchor distT="0" distB="0" distL="114300" distR="114300" simplePos="0" relativeHeight="251657214" behindDoc="1" locked="1" layoutInCell="1" allowOverlap="1" wp14:anchorId="51F83315" wp14:editId="0EEE53B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4120" cy="10670540"/>
          <wp:effectExtent l="0" t="0" r="0" b="0"/>
          <wp:wrapNone/>
          <wp:docPr id="1363023687" name="Picture 8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023687" name="Picture 8" descr="A white background with black dot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120" cy="1067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1ABD" w:rsidRPr="00D71ABD">
      <w:t>MPC hunkers down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C2C49" w14:textId="1EEC1BC6" w:rsidR="00870475" w:rsidRPr="00870475" w:rsidRDefault="00870475" w:rsidP="00870475">
    <w:pPr>
      <w:rPr>
        <w:sz w:val="4"/>
      </w:rPr>
    </w:pPr>
    <w:r w:rsidRPr="00870475">
      <w:rPr>
        <w:noProof/>
        <w:sz w:val="4"/>
      </w:rPr>
      <w:drawing>
        <wp:anchor distT="0" distB="0" distL="114300" distR="114300" simplePos="0" relativeHeight="251658239" behindDoc="1" locked="1" layoutInCell="1" allowOverlap="1" wp14:anchorId="62F22B08" wp14:editId="5C5F3D96">
          <wp:simplePos x="0" y="0"/>
          <wp:positionH relativeFrom="page">
            <wp:posOffset>114300</wp:posOffset>
          </wp:positionH>
          <wp:positionV relativeFrom="page">
            <wp:posOffset>161925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0475">
      <w:rPr>
        <w:noProof/>
        <w:sz w:val="4"/>
      </w:rPr>
      <w:drawing>
        <wp:anchor distT="0" distB="0" distL="114300" distR="114300" simplePos="0" relativeHeight="251659264" behindDoc="1" locked="1" layoutInCell="1" allowOverlap="1" wp14:anchorId="2AD148E5" wp14:editId="573ECA84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2021581223"/>
      <w:lock w:val="sdtLocked"/>
      <w:placeholder>
        <w:docPart w:val="DefaultPlaceholder_-1854013437"/>
      </w:placeholder>
      <w:date w:fullDate="2026-03-19T00:00:00Z">
        <w:dateFormat w:val="d MMMM yyyy"/>
        <w:lid w:val="en-GB"/>
        <w:storeMappedDataAs w:val="dateTime"/>
        <w:calendar w:val="gregorian"/>
      </w:date>
    </w:sdtPr>
    <w:sdtEndPr/>
    <w:sdtContent>
      <w:p w14:paraId="34BDB128" w14:textId="49F61C50" w:rsidR="00870475" w:rsidRPr="00870475" w:rsidRDefault="00870475" w:rsidP="00870475">
        <w:pPr>
          <w:pStyle w:val="PublishDate"/>
          <w:framePr w:w="2835" w:h="340" w:hRule="exact" w:hSpace="180" w:wrap="around" w:vAnchor="page" w:hAnchor="page" w:x="7801" w:y="601" w:anchorLock="1"/>
        </w:pPr>
        <w:r>
          <w:t>19 March 2026</w:t>
        </w:r>
      </w:p>
    </w:sdtContent>
  </w:sdt>
  <w:p w14:paraId="4BA1EC6F" w14:textId="7EEF8B5A" w:rsidR="00870475" w:rsidRDefault="00A73E05" w:rsidP="00870475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</w:t>
    </w:r>
    <w:r w:rsidR="00870475">
      <w:t xml:space="preserve"> | </w:t>
    </w:r>
    <w:r>
      <w:t>UK</w:t>
    </w:r>
  </w:p>
  <w:p w14:paraId="67F44D72" w14:textId="73F0DA18" w:rsidR="00870475" w:rsidRDefault="00D71ABD" w:rsidP="00870475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MPC hunkers down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75"/>
    <w:rsid w:val="00023B17"/>
    <w:rsid w:val="000255B0"/>
    <w:rsid w:val="00056D61"/>
    <w:rsid w:val="000B2030"/>
    <w:rsid w:val="000B5380"/>
    <w:rsid w:val="000C39CB"/>
    <w:rsid w:val="000C56EA"/>
    <w:rsid w:val="0011671A"/>
    <w:rsid w:val="0012240B"/>
    <w:rsid w:val="001234E6"/>
    <w:rsid w:val="001D1A48"/>
    <w:rsid w:val="001E12A4"/>
    <w:rsid w:val="001E7C3B"/>
    <w:rsid w:val="00273EF7"/>
    <w:rsid w:val="00313915"/>
    <w:rsid w:val="00321B69"/>
    <w:rsid w:val="00356751"/>
    <w:rsid w:val="003773BB"/>
    <w:rsid w:val="0044591B"/>
    <w:rsid w:val="004D3CC7"/>
    <w:rsid w:val="004F16FB"/>
    <w:rsid w:val="00522C6A"/>
    <w:rsid w:val="005840D2"/>
    <w:rsid w:val="0058652E"/>
    <w:rsid w:val="005A073B"/>
    <w:rsid w:val="006019D2"/>
    <w:rsid w:val="00616FB9"/>
    <w:rsid w:val="006F5E66"/>
    <w:rsid w:val="007033CB"/>
    <w:rsid w:val="00752995"/>
    <w:rsid w:val="00787968"/>
    <w:rsid w:val="007D3E85"/>
    <w:rsid w:val="0081031E"/>
    <w:rsid w:val="008468D1"/>
    <w:rsid w:val="008468F2"/>
    <w:rsid w:val="00857EB0"/>
    <w:rsid w:val="00870475"/>
    <w:rsid w:val="00881BA3"/>
    <w:rsid w:val="009A08C8"/>
    <w:rsid w:val="009A6257"/>
    <w:rsid w:val="009B677F"/>
    <w:rsid w:val="009F6665"/>
    <w:rsid w:val="00A2184F"/>
    <w:rsid w:val="00A31CB6"/>
    <w:rsid w:val="00A34204"/>
    <w:rsid w:val="00A73E05"/>
    <w:rsid w:val="00B462F1"/>
    <w:rsid w:val="00B6199C"/>
    <w:rsid w:val="00B665EE"/>
    <w:rsid w:val="00B752B3"/>
    <w:rsid w:val="00BA5A65"/>
    <w:rsid w:val="00BA5FF9"/>
    <w:rsid w:val="00BB3CE3"/>
    <w:rsid w:val="00C060D6"/>
    <w:rsid w:val="00C45CAD"/>
    <w:rsid w:val="00C50068"/>
    <w:rsid w:val="00CF26DB"/>
    <w:rsid w:val="00D00261"/>
    <w:rsid w:val="00D14415"/>
    <w:rsid w:val="00D219B2"/>
    <w:rsid w:val="00D56E72"/>
    <w:rsid w:val="00D57DC2"/>
    <w:rsid w:val="00D71ABD"/>
    <w:rsid w:val="00DA56C6"/>
    <w:rsid w:val="00DE6E52"/>
    <w:rsid w:val="00E212B1"/>
    <w:rsid w:val="00E80A33"/>
    <w:rsid w:val="00E914DE"/>
    <w:rsid w:val="00EC5B7E"/>
    <w:rsid w:val="00EF0CB0"/>
    <w:rsid w:val="00F003CA"/>
    <w:rsid w:val="00F92F12"/>
    <w:rsid w:val="00F957AC"/>
    <w:rsid w:val="00FA1CDE"/>
    <w:rsid w:val="00FE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4F094F3"/>
  <w15:chartTrackingRefBased/>
  <w15:docId w15:val="{DCC1EA89-35EF-4A68-8408-751C0C41A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75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475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70475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475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475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8704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8704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8704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8704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8704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475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0475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70475"/>
    <w:rPr>
      <w:rFonts w:ascii="Segoe UI" w:eastAsiaTheme="majorEastAsia" w:hAnsi="Segoe UI" w:cstheme="majorBidi"/>
      <w:noProof w:val="0"/>
      <w:color w:val="003469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70475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szCs w:val="22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70475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475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475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475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475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70475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475"/>
    <w:rPr>
      <w:rFonts w:ascii="Segoe UI" w:hAnsi="Segoe UI" w:cs="Segoe UI"/>
      <w:i/>
      <w:iCs/>
      <w:noProof w:val="0"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870475"/>
    <w:pPr>
      <w:numPr>
        <w:numId w:val="3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87047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0475"/>
    <w:rPr>
      <w:rFonts w:ascii="Segoe UI" w:hAnsi="Segoe UI" w:cs="Segoe UI"/>
      <w:noProof w:val="0"/>
      <w:color w:val="000000" w:themeColor="text1"/>
      <w:kern w:val="0"/>
      <w:sz w:val="2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047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0475"/>
    <w:rPr>
      <w:rFonts w:ascii="Segoe UI" w:hAnsi="Segoe UI" w:cs="Segoe UI"/>
      <w:noProof w:val="0"/>
      <w:color w:val="000000" w:themeColor="text1"/>
      <w:kern w:val="0"/>
      <w:sz w:val="20"/>
      <w:szCs w:val="22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870475"/>
    <w:rPr>
      <w:noProof w:val="0"/>
    </w:rPr>
  </w:style>
  <w:style w:type="character" w:styleId="Hyperlink">
    <w:name w:val="Hyperlink"/>
    <w:basedOn w:val="DefaultParagraphFont"/>
    <w:uiPriority w:val="99"/>
    <w:unhideWhenUsed/>
    <w:rsid w:val="00870475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70475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870475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870475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870475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870475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870475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:szCs w:val="22"/>
      <w14:ligatures w14:val="none"/>
    </w:rPr>
  </w:style>
  <w:style w:type="paragraph" w:customStyle="1" w:styleId="Glossary">
    <w:name w:val="Glossary"/>
    <w:basedOn w:val="Normal"/>
    <w:rsid w:val="00870475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870475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  <w:ind w:left="357" w:hanging="357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870475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870475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870475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870475"/>
    <w:pPr>
      <w:numPr>
        <w:numId w:val="1"/>
      </w:numPr>
      <w:ind w:left="0" w:firstLine="0"/>
    </w:pPr>
    <w:rPr>
      <w:kern w:val="2"/>
      <w:sz w:val="24"/>
      <w:szCs w:val="24"/>
      <w14:ligatures w14:val="standardContextual"/>
    </w:rPr>
  </w:style>
  <w:style w:type="paragraph" w:customStyle="1" w:styleId="TableData">
    <w:name w:val="Table Data"/>
    <w:link w:val="TableDataChar"/>
    <w:qFormat/>
    <w:rsid w:val="00870475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870475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870475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870475"/>
    <w:pPr>
      <w:spacing w:before="0" w:after="0"/>
      <w:jc w:val="right"/>
    </w:pPr>
    <w:rPr>
      <w:color w:val="003469"/>
      <w:sz w:val="24"/>
      <w:szCs w:val="24"/>
    </w:rPr>
  </w:style>
  <w:style w:type="paragraph" w:customStyle="1" w:styleId="Author">
    <w:name w:val="Author"/>
    <w:basedOn w:val="Bullet"/>
    <w:link w:val="AuthorChar"/>
    <w:qFormat/>
    <w:rsid w:val="00870475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DefaultParagraphFont"/>
    <w:link w:val="PublishDate"/>
    <w:rsid w:val="00870475"/>
    <w:rPr>
      <w:rFonts w:ascii="Segoe UI" w:hAnsi="Segoe UI" w:cs="Segoe UI"/>
      <w:noProof w:val="0"/>
      <w:color w:val="003469"/>
      <w:kern w:val="0"/>
      <w14:ligatures w14:val="none"/>
    </w:rPr>
  </w:style>
  <w:style w:type="character" w:customStyle="1" w:styleId="AuthorChar">
    <w:name w:val="Author Char"/>
    <w:basedOn w:val="FooterChar"/>
    <w:link w:val="Author"/>
    <w:rsid w:val="00870475"/>
    <w:rPr>
      <w:rFonts w:ascii="Segoe UI" w:hAnsi="Segoe UI" w:cs="Segoe UI"/>
      <w:b/>
      <w:bCs/>
      <w:noProof w:val="0"/>
      <w:color w:val="7F7F7F" w:themeColor="text1" w:themeTint="80"/>
      <w:kern w:val="0"/>
      <w:sz w:val="20"/>
      <w:szCs w:val="22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70475"/>
    <w:rPr>
      <w:rFonts w:ascii="Segoe UI" w:hAnsi="Segoe UI" w:cs="Segoe UI"/>
      <w:noProof w:val="0"/>
      <w:color w:val="000000" w:themeColor="text1"/>
      <w:kern w:val="0"/>
      <w:sz w:val="20"/>
      <w:szCs w:val="22"/>
      <w14:ligatures w14:val="none"/>
    </w:rPr>
  </w:style>
  <w:style w:type="paragraph" w:customStyle="1" w:styleId="BodyBullet">
    <w:name w:val="Body Bullet"/>
    <w:link w:val="BodyBulletChar"/>
    <w:qFormat/>
    <w:rsid w:val="00870475"/>
    <w:pPr>
      <w:numPr>
        <w:numId w:val="4"/>
      </w:numPr>
      <w:spacing w:after="200" w:line="240" w:lineRule="auto"/>
      <w:ind w:left="283" w:hanging="283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870475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870475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870475"/>
    <w:rPr>
      <w:rFonts w:ascii="Segoe UI" w:hAnsi="Segoe UI" w:cs="Segoe UI"/>
      <w:noProof w:val="0"/>
      <w:color w:val="003469"/>
      <w:kern w:val="0"/>
      <w:sz w:val="20"/>
      <w:szCs w:val="22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870475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870475"/>
    <w:rPr>
      <w:b/>
      <w:bCs/>
      <w:noProof w:val="0"/>
    </w:rPr>
  </w:style>
  <w:style w:type="character" w:customStyle="1" w:styleId="Italics">
    <w:name w:val="Italics"/>
    <w:uiPriority w:val="1"/>
    <w:qFormat/>
    <w:rsid w:val="00870475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870475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 w:val="22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sv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my.oxfordeconomics.com/reportaction/Ea80d93D6fc445c894A23D/Toc" TargetMode="External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BE7F8-C698-4FEC-AF54-B1DCFC136AEB}"/>
      </w:docPartPr>
      <w:docPartBody>
        <w:p w:rsidR="00CC2FDC" w:rsidRDefault="00CC2FDC">
          <w:r w:rsidRPr="00EC1FFD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DC"/>
    <w:rsid w:val="0012240B"/>
    <w:rsid w:val="00273EF7"/>
    <w:rsid w:val="005A073B"/>
    <w:rsid w:val="009F6665"/>
    <w:rsid w:val="00CC2FDC"/>
    <w:rsid w:val="00D00261"/>
    <w:rsid w:val="00EC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a1b354df745ae6595cb300db67460c2c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3d26e621a7a3b4fe63a10b62de79d33e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D22A52-B8DE-4675-BD63-2E0B55D87E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14CDCD-1097-4E85-A1BC-3240B7E95F85}">
  <ds:schemaRefs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6c77b332-7df6-4eff-997f-266963d55fc4"/>
    <ds:schemaRef ds:uri="6ec33f61-c765-4e3b-9958-53c32fd1fd0b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77F0737-119C-4822-BDA7-D792B2236B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753</Words>
  <Characters>3747</Characters>
  <Application>Microsoft Office Word</Application>
  <DocSecurity>0</DocSecurity>
  <Lines>52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9</cp:revision>
  <dcterms:created xsi:type="dcterms:W3CDTF">2026-03-19T14:34:00Z</dcterms:created>
  <dcterms:modified xsi:type="dcterms:W3CDTF">2026-03-19T14:44:00Z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2026-03-19T14:30:49.000Z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v0.8.2.4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>Andrew Goodwin|Chief UK Economist|agoodwin@oxfordeconomics.com_x000d_</vt:lpwstr>
  </property>
  <property fmtid="{D5CDD505-2E9C-101B-9397-08002B2CF9AE}" pid="14" name="OEP_EXHIBIT_FILEPATHS">
    <vt:lpwstr>Z:\UK Team\UK Research Briefing\20260319 RB UK MPC reaction - Charts.xlsx</vt:lpwstr>
  </property>
  <property fmtid="{D5CDD505-2E9C-101B-9397-08002B2CF9AE}" pid="15" name="OEP_CATEGORIES">
    <vt:lpwstr>AnalysisbyRegion-Europe-UnitedKingdom,Macro-ResearchBriefings-UnitedKingdom</vt:lpwstr>
  </property>
  <property fmtid="{D5CDD505-2E9C-101B-9397-08002B2CF9AE}" pid="16" name="OEP_TAGS">
    <vt:lpwstr>Key Themes:interest rates,monetary policy</vt:lpwstr>
  </property>
  <property fmtid="{D5CDD505-2E9C-101B-9397-08002B2CF9AE}" pid="17" name="OEP_KEY_THEMES">
    <vt:lpwstr>interest rates,monetary policy</vt:lpwstr>
  </property>
  <property fmtid="{D5CDD505-2E9C-101B-9397-08002B2CF9AE}" pid="18" name="ContentTypeId">
    <vt:lpwstr>0x01010009401BB7205AF745BAD4FA98BDE0B98F</vt:lpwstr>
  </property>
  <property fmtid="{D5CDD505-2E9C-101B-9397-08002B2CF9AE}" pid="19" name="OEP_PRODUCT_CODE">
    <vt:lpwstr>c0aD94Be38F14034b419f6</vt:lpwstr>
  </property>
  <property fmtid="{D5CDD505-2E9C-101B-9397-08002B2CF9AE}" pid="20" name="OEP_PUBLISH_DATE">
    <vt:lpwstr/>
  </property>
</Properties>
</file>