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575CE" w14:textId="56F7F35E" w:rsidR="0046417B" w:rsidRDefault="00C75F9D" w:rsidP="0046417B">
      <w:pPr>
        <w:pStyle w:val="Bullet"/>
      </w:pPr>
      <w:r>
        <w:t>The Monetary Policy Committee held Bank Rate at 3.75%</w:t>
      </w:r>
      <w:r w:rsidR="008509D8">
        <w:t>, which</w:t>
      </w:r>
      <w:r w:rsidR="007D2E98">
        <w:t xml:space="preserve"> doesn’t justify any changes to our near-term forecast for monetary policy</w:t>
      </w:r>
      <w:r w:rsidR="0046417B">
        <w:t>.</w:t>
      </w:r>
      <w:r w:rsidR="00996E8A">
        <w:t xml:space="preserve"> We </w:t>
      </w:r>
      <w:r w:rsidR="007D2E98">
        <w:t xml:space="preserve">expect the MPC to keep </w:t>
      </w:r>
      <w:r w:rsidR="00996E8A">
        <w:t xml:space="preserve">Bank Rate </w:t>
      </w:r>
      <w:r w:rsidR="007D2E98">
        <w:t>unchanged this year</w:t>
      </w:r>
      <w:r w:rsidR="00996E8A">
        <w:t>, as the</w:t>
      </w:r>
      <w:r w:rsidR="007D2E98">
        <w:t xml:space="preserve"> committee</w:t>
      </w:r>
      <w:r w:rsidR="00996E8A">
        <w:t xml:space="preserve"> balances the </w:t>
      </w:r>
      <w:r w:rsidR="00D5230F">
        <w:t xml:space="preserve">near-term </w:t>
      </w:r>
      <w:r w:rsidR="00996E8A">
        <w:t>inflation shock</w:t>
      </w:r>
      <w:r w:rsidR="007D2E98">
        <w:t xml:space="preserve"> caused by the conflict in the Middle East</w:t>
      </w:r>
      <w:r w:rsidR="00996E8A">
        <w:t xml:space="preserve"> against a fragile labour market.</w:t>
      </w:r>
      <w:r w:rsidR="00F97CD3">
        <w:t xml:space="preserve"> </w:t>
      </w:r>
      <w:r w:rsidR="007D2E98">
        <w:t>R</w:t>
      </w:r>
      <w:r w:rsidR="00F97CD3">
        <w:t xml:space="preserve">isks </w:t>
      </w:r>
      <w:r w:rsidR="007D2E98" w:rsidRPr="007D2E98">
        <w:t>to the forecast are weighted toward summer</w:t>
      </w:r>
      <w:r w:rsidR="00F04EA8">
        <w:t xml:space="preserve"> tightening</w:t>
      </w:r>
      <w:r w:rsidR="00F97CD3">
        <w:t>.</w:t>
      </w:r>
    </w:p>
    <w:p w14:paraId="68453900" w14:textId="5282D0E1" w:rsidR="0046417B" w:rsidRDefault="00996E8A" w:rsidP="0046417B">
      <w:pPr>
        <w:pStyle w:val="Bullet"/>
      </w:pPr>
      <w:r>
        <w:t xml:space="preserve">The MPC </w:t>
      </w:r>
      <w:r w:rsidR="007D2E98">
        <w:t>is being patient and waiting</w:t>
      </w:r>
      <w:r w:rsidR="00380E83">
        <w:t xml:space="preserve"> until the impact of the </w:t>
      </w:r>
      <w:r w:rsidR="005F7CCD">
        <w:t>Middle</w:t>
      </w:r>
      <w:r w:rsidR="00380E83">
        <w:t xml:space="preserve"> East conflict is clearer. P</w:t>
      </w:r>
      <w:r>
        <w:t xml:space="preserve">olicy will </w:t>
      </w:r>
      <w:r w:rsidR="00380E83">
        <w:t>be shaped by</w:t>
      </w:r>
      <w:r>
        <w:t xml:space="preserve"> energy price</w:t>
      </w:r>
      <w:r w:rsidR="007D2E98">
        <w:t xml:space="preserve">s </w:t>
      </w:r>
      <w:r>
        <w:t>and evidence of second</w:t>
      </w:r>
      <w:r w:rsidR="008509D8">
        <w:t>-</w:t>
      </w:r>
      <w:r>
        <w:t xml:space="preserve">round effects </w:t>
      </w:r>
      <w:r w:rsidR="00380E83">
        <w:t>in terms of</w:t>
      </w:r>
      <w:r>
        <w:t xml:space="preserve"> firms’ pricing power and the strength of pay growth</w:t>
      </w:r>
      <w:r w:rsidR="0046417B">
        <w:t>.</w:t>
      </w:r>
      <w:r w:rsidR="00414777">
        <w:t xml:space="preserve"> </w:t>
      </w:r>
      <w:r w:rsidR="00F728C4">
        <w:t>The majority of</w:t>
      </w:r>
      <w:r w:rsidR="00414777">
        <w:t xml:space="preserve"> members placed </w:t>
      </w:r>
      <w:r w:rsidR="008509D8">
        <w:t xml:space="preserve">the </w:t>
      </w:r>
      <w:r w:rsidR="00414777">
        <w:t xml:space="preserve">most weight on the MPC’s middle scenario, with higher energy prices than </w:t>
      </w:r>
      <w:r w:rsidR="00F14D93">
        <w:t xml:space="preserve">recent </w:t>
      </w:r>
      <w:r w:rsidR="00414777">
        <w:t>market pricing and modest second-round effects.</w:t>
      </w:r>
    </w:p>
    <w:p w14:paraId="42A894AF" w14:textId="1D95EE61" w:rsidR="0046417B" w:rsidRDefault="007D2E98" w:rsidP="0046417B">
      <w:pPr>
        <w:pStyle w:val="Bullet"/>
      </w:pPr>
      <w:r>
        <w:t>I</w:t>
      </w:r>
      <w:r w:rsidR="009352BC">
        <w:t xml:space="preserve">t wouldn’t take much to tip the balance towards rate hikes. </w:t>
      </w:r>
      <w:r w:rsidR="00F14D93">
        <w:t>Continued strength</w:t>
      </w:r>
      <w:r w:rsidR="00B96296">
        <w:t xml:space="preserve"> in </w:t>
      </w:r>
      <w:r w:rsidR="00A63074">
        <w:t>energy price</w:t>
      </w:r>
      <w:r w:rsidR="00B96296">
        <w:t>s</w:t>
      </w:r>
      <w:r w:rsidR="009352BC">
        <w:t xml:space="preserve"> or evidence the MPC has underestimated indirect impacts of higher energy prices could </w:t>
      </w:r>
      <w:r w:rsidR="00F53B54">
        <w:t>convince the majority to hike</w:t>
      </w:r>
      <w:r w:rsidR="0046417B">
        <w:t>.</w:t>
      </w:r>
    </w:p>
    <w:p w14:paraId="7FD279F1" w14:textId="021040D7" w:rsidR="0091520F" w:rsidRDefault="00CD083B">
      <w:r w:rsidRPr="00CD083B">
        <w:t xml:space="preserve">The Bank of England's Monetary Policy Committee voted </w:t>
      </w:r>
      <w:r w:rsidR="0091520F">
        <w:t>8-1</w:t>
      </w:r>
      <w:r w:rsidRPr="00CD083B">
        <w:t xml:space="preserve"> to hold Bank Rate at 3.75%</w:t>
      </w:r>
      <w:r w:rsidR="0046417B">
        <w:t xml:space="preserve">. </w:t>
      </w:r>
      <w:r>
        <w:t xml:space="preserve">The </w:t>
      </w:r>
      <w:r w:rsidR="0091520F">
        <w:t>sole</w:t>
      </w:r>
      <w:r>
        <w:t xml:space="preserve"> dissenter</w:t>
      </w:r>
      <w:r w:rsidR="0091520F">
        <w:t xml:space="preserve">, </w:t>
      </w:r>
      <w:r w:rsidR="00F14D93">
        <w:t xml:space="preserve">Chief Economist </w:t>
      </w:r>
      <w:r>
        <w:t>Huw Pill</w:t>
      </w:r>
      <w:r w:rsidR="0091520F">
        <w:t xml:space="preserve">, </w:t>
      </w:r>
      <w:r>
        <w:t xml:space="preserve">preferred a 25bp hike. </w:t>
      </w:r>
      <w:r w:rsidR="00122641">
        <w:t xml:space="preserve">But there was a wide range of views among those voting for no change, with two members suggesting </w:t>
      </w:r>
      <w:r w:rsidR="00627CB0">
        <w:t xml:space="preserve">they’re likely to </w:t>
      </w:r>
      <w:r w:rsidR="00122641">
        <w:t xml:space="preserve">switch </w:t>
      </w:r>
      <w:r w:rsidR="008509D8">
        <w:t xml:space="preserve">their </w:t>
      </w:r>
      <w:r w:rsidR="00627CB0">
        <w:t>vote</w:t>
      </w:r>
      <w:r w:rsidR="00122641">
        <w:t xml:space="preserve"> soon.</w:t>
      </w:r>
    </w:p>
    <w:p w14:paraId="23856D9E" w14:textId="57A41B6F" w:rsidR="009A08C8" w:rsidRDefault="0091520F">
      <w:r>
        <w:t>The MPC stressed the uncertainty caused by the Middle East conflict and framed its view of the outlook around three scenarios</w:t>
      </w:r>
      <w:r w:rsidR="00990406">
        <w:t xml:space="preserve"> </w:t>
      </w:r>
      <w:r w:rsidR="002F4010">
        <w:t>with varying profiles for energy prices and second-round effects</w:t>
      </w:r>
      <w:r w:rsidR="00814066">
        <w:t xml:space="preserve">. </w:t>
      </w:r>
      <w:r w:rsidRPr="0091520F">
        <w:rPr>
          <w:b/>
          <w:bCs/>
          <w:color w:val="003469"/>
        </w:rPr>
        <w:fldChar w:fldCharType="begin"/>
      </w:r>
      <w:r w:rsidRPr="0091520F">
        <w:rPr>
          <w:b/>
          <w:color w:val="003469"/>
        </w:rPr>
        <w:instrText xml:space="preserve"> REF _Ref228444879 \h \* Charformat </w:instrText>
      </w:r>
      <w:r w:rsidRPr="0091520F">
        <w:rPr>
          <w:b/>
          <w:bCs/>
          <w:color w:val="003469"/>
        </w:rPr>
      </w:r>
      <w:r w:rsidRPr="0091520F">
        <w:rPr>
          <w:b/>
          <w:bCs/>
          <w:color w:val="003469"/>
        </w:rPr>
        <w:fldChar w:fldCharType="separate"/>
      </w:r>
      <w:r w:rsidR="005B548F" w:rsidRPr="005B548F">
        <w:rPr>
          <w:b/>
          <w:color w:val="003469"/>
        </w:rPr>
        <w:t>Chart 1</w:t>
      </w:r>
      <w:r w:rsidRPr="0091520F">
        <w:rPr>
          <w:b/>
          <w:bCs/>
          <w:color w:val="003469"/>
        </w:rPr>
        <w:fldChar w:fldCharType="end"/>
      </w:r>
      <w:r w:rsidR="00814066">
        <w:rPr>
          <w:b/>
          <w:bCs/>
          <w:color w:val="003469"/>
        </w:rPr>
        <w:t xml:space="preserve"> </w:t>
      </w:r>
      <w:r w:rsidR="00814066">
        <w:t xml:space="preserve">shows the outcomes for inflation plotted against our baseline and </w:t>
      </w:r>
      <w:r w:rsidR="008509D8">
        <w:t xml:space="preserve">the </w:t>
      </w:r>
      <w:r w:rsidR="00814066">
        <w:t>prolonged war scenario</w:t>
      </w:r>
      <w:r>
        <w:t>.</w:t>
      </w:r>
    </w:p>
    <w:p w14:paraId="50CB0C28" w14:textId="312D63F6" w:rsidR="0046417B" w:rsidRDefault="0046417B" w:rsidP="0046417B">
      <w:pPr>
        <w:pStyle w:val="ExhibitTitle"/>
      </w:pPr>
      <w:bookmarkStart w:id="0" w:name="_Ref228444879"/>
      <w:r>
        <w:t xml:space="preserve">Chart </w:t>
      </w:r>
      <w:r>
        <w:fldChar w:fldCharType="begin"/>
      </w:r>
      <w:r>
        <w:instrText>SEQ CHART</w:instrText>
      </w:r>
      <w:r>
        <w:fldChar w:fldCharType="separate"/>
      </w:r>
      <w:r w:rsidR="005B548F">
        <w:rPr>
          <w:noProof/>
        </w:rPr>
        <w:t>1</w:t>
      </w:r>
      <w:r>
        <w:fldChar w:fldCharType="end"/>
      </w:r>
      <w:bookmarkEnd w:id="0"/>
      <w:r>
        <w:t xml:space="preserve">: </w:t>
      </w:r>
      <w:r w:rsidR="00FE2690">
        <w:t xml:space="preserve">The MPC presented three scenarios for inflation, with most members favouring </w:t>
      </w:r>
      <w:r w:rsidR="008509D8">
        <w:t xml:space="preserve">Scenario </w:t>
      </w:r>
      <w:r w:rsidR="00FE2690">
        <w:t>B</w:t>
      </w:r>
    </w:p>
    <w:p w14:paraId="189E387E" w14:textId="1AF57832" w:rsidR="0046417B" w:rsidRDefault="00A328FA" w:rsidP="005B548F">
      <w:pPr>
        <w:pStyle w:val="Chart"/>
      </w:pPr>
      <w:r>
        <w:rPr>
          <w:noProof/>
        </w:rPr>
        <w:drawing>
          <wp:inline distT="0" distB="0" distL="0" distR="0" wp14:anchorId="5610E8BC" wp14:editId="1A89F4A7">
            <wp:extent cx="6442710" cy="3108582"/>
            <wp:effectExtent l="0" t="0" r="0" b="0"/>
            <wp:docPr id="776510315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10315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b="2502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0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8801" w14:textId="5BF3A6F2" w:rsidR="00A328FA" w:rsidRDefault="00A328FA" w:rsidP="00A328FA">
      <w:pPr>
        <w:pStyle w:val="ExhibitSource"/>
      </w:pPr>
      <w:r>
        <w:t>Sources: Oxford Economics, Haver Analytics</w:t>
      </w:r>
    </w:p>
    <w:p w14:paraId="15B78E74" w14:textId="4A670BB9" w:rsidR="0046417B" w:rsidRDefault="0046417B" w:rsidP="0046417B"/>
    <w:p w14:paraId="3DE0B49C" w14:textId="77777777" w:rsidR="0046417B" w:rsidRDefault="0046417B" w:rsidP="0046417B">
      <w:pPr>
        <w:sectPr w:rsidR="0046417B" w:rsidSect="0046417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2660" w:right="880" w:bottom="730" w:left="880" w:header="200" w:footer="300" w:gutter="0"/>
          <w:cols w:space="708"/>
          <w:titlePg/>
          <w:docGrid w:linePitch="360"/>
        </w:sectPr>
      </w:pPr>
    </w:p>
    <w:p w14:paraId="4C8D9BD4" w14:textId="0F6A3D58" w:rsidR="003725CA" w:rsidRDefault="003725CA" w:rsidP="0046417B">
      <w:r>
        <w:lastRenderedPageBreak/>
        <w:t>The assumptions underpinning the scenarios are:</w:t>
      </w:r>
    </w:p>
    <w:p w14:paraId="5AB81FE8" w14:textId="1E223CBD" w:rsidR="003725CA" w:rsidRDefault="003725CA" w:rsidP="003725CA">
      <w:pPr>
        <w:pStyle w:val="BodyBullet"/>
      </w:pPr>
      <w:r w:rsidRPr="003725CA">
        <w:rPr>
          <w:b/>
          <w:bCs w:val="0"/>
          <w:color w:val="003469"/>
        </w:rPr>
        <w:t>Scenario A</w:t>
      </w:r>
      <w:r>
        <w:t xml:space="preserve">: Energy prices follow market futures pricing. No </w:t>
      </w:r>
      <w:r w:rsidR="00E15C26">
        <w:t>second-round</w:t>
      </w:r>
      <w:r>
        <w:t xml:space="preserve"> effects</w:t>
      </w:r>
      <w:r w:rsidR="008509D8">
        <w:t>.</w:t>
      </w:r>
    </w:p>
    <w:p w14:paraId="5B610C1C" w14:textId="4E1A2D1F" w:rsidR="003725CA" w:rsidRDefault="003725CA" w:rsidP="003725CA">
      <w:pPr>
        <w:pStyle w:val="BodyBullet"/>
      </w:pPr>
      <w:r w:rsidRPr="003725CA">
        <w:rPr>
          <w:b/>
          <w:bCs w:val="0"/>
          <w:color w:val="003469"/>
        </w:rPr>
        <w:t>Scenario B</w:t>
      </w:r>
      <w:r>
        <w:t>: Energy prices follow market futures pricing for six months, then stay higher. Modest second</w:t>
      </w:r>
      <w:r w:rsidR="00E15C26">
        <w:t>-</w:t>
      </w:r>
      <w:r>
        <w:t>round effects.</w:t>
      </w:r>
    </w:p>
    <w:p w14:paraId="5E61AFC7" w14:textId="189DE245" w:rsidR="003725CA" w:rsidRDefault="003725CA" w:rsidP="003725CA">
      <w:pPr>
        <w:pStyle w:val="BodyBullet"/>
      </w:pPr>
      <w:r w:rsidRPr="003725CA">
        <w:rPr>
          <w:b/>
          <w:bCs w:val="0"/>
          <w:color w:val="003469"/>
        </w:rPr>
        <w:t>Scenario C</w:t>
      </w:r>
      <w:r>
        <w:t>: Energy prices rise sharply and stay elevated</w:t>
      </w:r>
      <w:r w:rsidR="008509D8">
        <w:t>.</w:t>
      </w:r>
      <w:r>
        <w:t xml:space="preserve"> </w:t>
      </w:r>
      <w:r w:rsidR="008509D8">
        <w:t xml:space="preserve">Strong </w:t>
      </w:r>
      <w:r>
        <w:t>and more persistent second-round effects.</w:t>
      </w:r>
    </w:p>
    <w:p w14:paraId="536AEE0F" w14:textId="057AC7DA" w:rsidR="00587E6A" w:rsidRDefault="00587E6A" w:rsidP="0046417B">
      <w:r>
        <w:t xml:space="preserve">Scenarios A and B show a smaller near-term impact on inflation than our baseline </w:t>
      </w:r>
      <w:r w:rsidR="003E32CA">
        <w:t>forecast but</w:t>
      </w:r>
      <w:r>
        <w:t xml:space="preserve"> have a similar profile two years out. Scenario C implies much higher inflation than our baseline in the near</w:t>
      </w:r>
      <w:r w:rsidR="008509D8">
        <w:t xml:space="preserve"> </w:t>
      </w:r>
      <w:r>
        <w:t xml:space="preserve">term, but is less severe than </w:t>
      </w:r>
      <w:hyperlink r:id="rId15" w:history="1">
        <w:r w:rsidRPr="007176CF">
          <w:rPr>
            <w:rStyle w:val="Hyperlink"/>
          </w:rPr>
          <w:t>our prolonged war scenario</w:t>
        </w:r>
      </w:hyperlink>
      <w:r>
        <w:t>.</w:t>
      </w:r>
    </w:p>
    <w:p w14:paraId="08508D6B" w14:textId="68DA06BF" w:rsidR="0046417B" w:rsidRDefault="00282C82" w:rsidP="0046417B">
      <w:r>
        <w:t>The</w:t>
      </w:r>
      <w:r w:rsidR="00380E83">
        <w:t xml:space="preserve"> individual paragraphs suggested the</w:t>
      </w:r>
      <w:r>
        <w:t xml:space="preserve"> majority</w:t>
      </w:r>
      <w:r w:rsidR="00991613">
        <w:t xml:space="preserve"> of the committee placed </w:t>
      </w:r>
      <w:r w:rsidR="008509D8">
        <w:t xml:space="preserve">the </w:t>
      </w:r>
      <w:r w:rsidR="00991613">
        <w:t xml:space="preserve">most weight on Scenario B. </w:t>
      </w:r>
      <w:r w:rsidR="00587E6A">
        <w:t xml:space="preserve">In some </w:t>
      </w:r>
      <w:r w:rsidR="00FF30A5">
        <w:t>cases,</w:t>
      </w:r>
      <w:r w:rsidR="00587E6A">
        <w:t xml:space="preserve"> this was because members felt that</w:t>
      </w:r>
      <w:r w:rsidR="00F14D93">
        <w:t xml:space="preserve"> the 15-day average</w:t>
      </w:r>
      <w:r w:rsidR="00587E6A">
        <w:t xml:space="preserve"> market curves for </w:t>
      </w:r>
      <w:r w:rsidR="00FF30A5">
        <w:t xml:space="preserve">oil and gas prices were too low given the damage to energy infrastructure. </w:t>
      </w:r>
      <w:r w:rsidR="004455F7">
        <w:t>M</w:t>
      </w:r>
      <w:r w:rsidR="00380E83">
        <w:t>ost agreed that modest second</w:t>
      </w:r>
      <w:r w:rsidR="008509D8">
        <w:t>-</w:t>
      </w:r>
      <w:r w:rsidR="00380E83">
        <w:t>round effects were the most likely scenario, given the degree of slack and the implications for firms’ pricing power and workers’ pay bargaining power.</w:t>
      </w:r>
    </w:p>
    <w:p w14:paraId="41DF0ADC" w14:textId="2FC09432" w:rsidR="0046417B" w:rsidRDefault="00F14D93" w:rsidP="0046417B">
      <w:r>
        <w:t>Apart from Pill, t</w:t>
      </w:r>
      <w:r w:rsidR="00380E83">
        <w:t xml:space="preserve">he </w:t>
      </w:r>
      <w:r>
        <w:t xml:space="preserve">other </w:t>
      </w:r>
      <w:r w:rsidR="00380E83">
        <w:t xml:space="preserve">notable exceptions were Catherine Mann and Megan Greene. </w:t>
      </w:r>
      <w:r w:rsidR="00570164">
        <w:t>Mann said she expected greater second</w:t>
      </w:r>
      <w:r w:rsidR="008509D8">
        <w:t>-</w:t>
      </w:r>
      <w:r w:rsidR="00570164">
        <w:t xml:space="preserve">round effects than in any of the scenarios, while Greene felt that inflation was likely to fall somewhere between </w:t>
      </w:r>
      <w:r w:rsidR="008509D8">
        <w:t xml:space="preserve">Scenarios </w:t>
      </w:r>
      <w:r w:rsidR="00570164">
        <w:t>B and C. We think it</w:t>
      </w:r>
      <w:r w:rsidR="008509D8">
        <w:t>’s</w:t>
      </w:r>
      <w:r w:rsidR="00570164">
        <w:t xml:space="preserve"> likely that both members will vote for rate hikes soon, probably </w:t>
      </w:r>
      <w:r w:rsidR="004455F7">
        <w:t>at</w:t>
      </w:r>
      <w:r w:rsidR="00570164">
        <w:t xml:space="preserve"> June’s meeting.</w:t>
      </w:r>
    </w:p>
    <w:p w14:paraId="71212278" w14:textId="6008F3F9" w:rsidR="0046417B" w:rsidRDefault="008B203B" w:rsidP="0046417B">
      <w:r>
        <w:t xml:space="preserve">The intentions of the other members are opaque. </w:t>
      </w:r>
      <w:r w:rsidR="008509D8">
        <w:t>M</w:t>
      </w:r>
      <w:r>
        <w:t>odelling shown in the Monetary Policy Report suggested that all three scenarios imply some rate hikes in the near</w:t>
      </w:r>
      <w:r w:rsidR="008509D8">
        <w:t xml:space="preserve"> </w:t>
      </w:r>
      <w:r>
        <w:t>term</w:t>
      </w:r>
      <w:r w:rsidR="008509D8">
        <w:t>,</w:t>
      </w:r>
      <w:r w:rsidR="00F97CD3">
        <w:t xml:space="preserve"> </w:t>
      </w:r>
      <w:r w:rsidR="008509D8">
        <w:t>a</w:t>
      </w:r>
      <w:r w:rsidR="00F97CD3">
        <w:t xml:space="preserve">nd Dave Ramsden said he would consider raising Bank Rate if </w:t>
      </w:r>
      <w:r w:rsidR="008509D8">
        <w:t xml:space="preserve">Scenario </w:t>
      </w:r>
      <w:r w:rsidR="00F97CD3">
        <w:t>B plays out</w:t>
      </w:r>
      <w:r w:rsidR="0002225C">
        <w:t>, accepting it would mean a larger output gap</w:t>
      </w:r>
      <w:r w:rsidR="00F97CD3">
        <w:t xml:space="preserve">. </w:t>
      </w:r>
      <w:r>
        <w:t xml:space="preserve">But </w:t>
      </w:r>
      <w:r w:rsidR="00F97CD3">
        <w:t xml:space="preserve">the paragraphs of other members betrayed little urgency to hike. Most stressed the importance of second-round effects of pay and pricing power, but didn’t volunteer any </w:t>
      </w:r>
      <w:r w:rsidR="00F14D93">
        <w:t xml:space="preserve">precise </w:t>
      </w:r>
      <w:r w:rsidR="00F97CD3">
        <w:t>criteria against which we could judge their likely reaction function.</w:t>
      </w:r>
    </w:p>
    <w:p w14:paraId="4A6ABA6A" w14:textId="7BEBF3D6" w:rsidR="001F3813" w:rsidRDefault="001F3813" w:rsidP="00157B7C">
      <w:pPr>
        <w:pStyle w:val="Heading2"/>
      </w:pPr>
      <w:r>
        <w:t>Baseline forecast unchanged</w:t>
      </w:r>
      <w:r w:rsidR="008509D8">
        <w:t>,</w:t>
      </w:r>
      <w:r>
        <w:t xml:space="preserve"> but </w:t>
      </w:r>
      <w:r w:rsidR="008509D8">
        <w:t xml:space="preserve">there’s a </w:t>
      </w:r>
      <w:r>
        <w:t>heightened risk of rate hikes</w:t>
      </w:r>
    </w:p>
    <w:p w14:paraId="34CA83FF" w14:textId="699DDCDC" w:rsidR="00497F4C" w:rsidRDefault="0002225C" w:rsidP="0046417B">
      <w:r>
        <w:t>On balance, we</w:t>
      </w:r>
      <w:r w:rsidR="008509D8">
        <w:t>’</w:t>
      </w:r>
      <w:r>
        <w:t xml:space="preserve">ll stick with our baseline </w:t>
      </w:r>
      <w:r w:rsidR="00E010FE">
        <w:t xml:space="preserve">(modal) </w:t>
      </w:r>
      <w:r>
        <w:t xml:space="preserve">forecast that Bank Rate remains on hold at 3.75% for the rest of this year. </w:t>
      </w:r>
      <w:r w:rsidR="00491355">
        <w:t>Governor</w:t>
      </w:r>
      <w:r w:rsidR="008509D8">
        <w:t xml:space="preserve"> Andrew</w:t>
      </w:r>
      <w:r w:rsidR="00491355">
        <w:t xml:space="preserve"> Bailey characterised </w:t>
      </w:r>
      <w:r w:rsidR="008509D8">
        <w:t xml:space="preserve">Thursday’s </w:t>
      </w:r>
      <w:r w:rsidR="00491355">
        <w:t>decision as an “active hold”, aided by the fact that financial conditions have already tightened</w:t>
      </w:r>
      <w:r w:rsidR="001D7688">
        <w:t>, with the MPC willing to act if necessary</w:t>
      </w:r>
      <w:r w:rsidR="00491355">
        <w:t>. O</w:t>
      </w:r>
      <w:r w:rsidR="00D3163E">
        <w:t xml:space="preserve">ur May baseline will assume that disruption in the Strait of Hormuz will </w:t>
      </w:r>
      <w:r w:rsidR="002837C6">
        <w:t>be slower to clear</w:t>
      </w:r>
      <w:r w:rsidR="00D3163E">
        <w:t xml:space="preserve">, keeping oil and gas prices higher in </w:t>
      </w:r>
      <w:r w:rsidR="00EF469D">
        <w:t>early summer</w:t>
      </w:r>
      <w:r w:rsidR="00491355">
        <w:t xml:space="preserve">. But </w:t>
      </w:r>
      <w:r w:rsidR="00D3163E">
        <w:t xml:space="preserve">we still </w:t>
      </w:r>
      <w:r w:rsidR="002837C6">
        <w:t xml:space="preserve">expect energy prices to drop back sharply in H2. This easing in energy prices and forward-looking </w:t>
      </w:r>
      <w:r w:rsidR="009945F6">
        <w:t xml:space="preserve">survey </w:t>
      </w:r>
      <w:r w:rsidR="002837C6">
        <w:t>evidence suggesting that second</w:t>
      </w:r>
      <w:r w:rsidR="008509D8">
        <w:t>-</w:t>
      </w:r>
      <w:r w:rsidR="002837C6">
        <w:t xml:space="preserve">round effects </w:t>
      </w:r>
      <w:r w:rsidR="00F14D93">
        <w:t xml:space="preserve">will </w:t>
      </w:r>
      <w:r w:rsidR="002837C6">
        <w:t>remain modest should keep the MPC in a watching brief.</w:t>
      </w:r>
    </w:p>
    <w:p w14:paraId="3F8DD57D" w14:textId="00A28239" w:rsidR="00497F4C" w:rsidRDefault="002837C6" w:rsidP="002837C6">
      <w:r>
        <w:t xml:space="preserve">But it’s a close call, and the risks of rate hikes are much higher than they were a few weeks ago. </w:t>
      </w:r>
      <w:r w:rsidR="00EE0746">
        <w:t xml:space="preserve">There’s little sign of a resolution to the conflict, and if there’s </w:t>
      </w:r>
      <w:r w:rsidR="00F14D93">
        <w:t>continued strength</w:t>
      </w:r>
      <w:r w:rsidR="00EE0746">
        <w:t xml:space="preserve"> in energy prices, that would probably be enough to tip the balance in favour of </w:t>
      </w:r>
      <w:r w:rsidR="00F14D93">
        <w:t>higher rates</w:t>
      </w:r>
      <w:r w:rsidR="00EE0746">
        <w:t xml:space="preserve">. In addition, the inflation forecasts for </w:t>
      </w:r>
      <w:r w:rsidR="008509D8">
        <w:t xml:space="preserve">Scenarios </w:t>
      </w:r>
      <w:r w:rsidR="00EE0746">
        <w:t>A and B look low to us, with the MPC potentially underestimating the strength of indirect pressures from higher energy costs on the prices of other goods and services</w:t>
      </w:r>
      <w:r w:rsidR="00D96D45">
        <w:t xml:space="preserve"> (</w:t>
      </w:r>
      <w:r w:rsidR="00D96D45" w:rsidRPr="00D96D45">
        <w:rPr>
          <w:b/>
          <w:bCs/>
          <w:color w:val="003469"/>
        </w:rPr>
        <w:fldChar w:fldCharType="begin"/>
      </w:r>
      <w:r w:rsidR="00D96D45" w:rsidRPr="00D96D45">
        <w:rPr>
          <w:b/>
          <w:color w:val="003469"/>
        </w:rPr>
        <w:instrText xml:space="preserve"> REF _Ref228444879 \h \* Charformat </w:instrText>
      </w:r>
      <w:r w:rsidR="00D96D45" w:rsidRPr="00D96D45">
        <w:rPr>
          <w:b/>
          <w:bCs/>
          <w:color w:val="003469"/>
        </w:rPr>
      </w:r>
      <w:r w:rsidR="00D96D45" w:rsidRPr="00D96D45">
        <w:rPr>
          <w:b/>
          <w:bCs/>
          <w:color w:val="003469"/>
        </w:rPr>
        <w:fldChar w:fldCharType="separate"/>
      </w:r>
      <w:r w:rsidR="005B548F" w:rsidRPr="005B548F">
        <w:rPr>
          <w:b/>
          <w:color w:val="003469"/>
        </w:rPr>
        <w:t>Chart 1</w:t>
      </w:r>
      <w:r w:rsidR="00D96D45" w:rsidRPr="00D96D45">
        <w:rPr>
          <w:b/>
          <w:bCs/>
          <w:color w:val="003469"/>
        </w:rPr>
        <w:fldChar w:fldCharType="end"/>
      </w:r>
      <w:r w:rsidR="00D96D45">
        <w:t>)</w:t>
      </w:r>
      <w:r w:rsidR="00EE0746">
        <w:t xml:space="preserve">. If we’re right, </w:t>
      </w:r>
      <w:r w:rsidR="00D82B67">
        <w:t>upside surprises for inflation</w:t>
      </w:r>
      <w:r w:rsidR="00EE0746">
        <w:t xml:space="preserve"> could </w:t>
      </w:r>
      <w:r w:rsidR="00D82B67">
        <w:t xml:space="preserve">be something </w:t>
      </w:r>
      <w:r w:rsidR="008509D8">
        <w:t xml:space="preserve">that </w:t>
      </w:r>
      <w:r w:rsidR="00EE0746">
        <w:t>convince</w:t>
      </w:r>
      <w:r w:rsidR="00D82B67">
        <w:t>s</w:t>
      </w:r>
      <w:r w:rsidR="00EE0746">
        <w:t xml:space="preserve"> the MPC to </w:t>
      </w:r>
      <w:r w:rsidR="004455F7">
        <w:t>act</w:t>
      </w:r>
      <w:r w:rsidR="00EE0746">
        <w:t xml:space="preserve">, even if </w:t>
      </w:r>
      <w:r w:rsidR="00F14D93">
        <w:t>it’s too early to see much e</w:t>
      </w:r>
      <w:r w:rsidR="000157FB">
        <w:t xml:space="preserve">vidence of </w:t>
      </w:r>
      <w:r w:rsidR="0075748A">
        <w:t>second</w:t>
      </w:r>
      <w:r w:rsidR="008509D8">
        <w:t>-</w:t>
      </w:r>
      <w:r w:rsidR="0075748A">
        <w:t xml:space="preserve">round effects on pay and </w:t>
      </w:r>
      <w:r w:rsidR="00F14D93">
        <w:t xml:space="preserve">firms’ </w:t>
      </w:r>
      <w:r w:rsidR="0075748A">
        <w:t>pricing power.</w:t>
      </w:r>
    </w:p>
    <w:p w14:paraId="1F344F48" w14:textId="7430C873" w:rsidR="0046417B" w:rsidRDefault="00603642" w:rsidP="0046417B">
      <w:r>
        <w:t>If either of these events play out, we think there’s a good chance that the MPC will follow the ‘</w:t>
      </w:r>
      <w:r w:rsidR="00C77772">
        <w:t>robust</w:t>
      </w:r>
      <w:r>
        <w:t xml:space="preserve">’ approach that we set out in a </w:t>
      </w:r>
      <w:hyperlink r:id="rId16" w:history="1">
        <w:r w:rsidRPr="00603642">
          <w:rPr>
            <w:rStyle w:val="Hyperlink"/>
          </w:rPr>
          <w:t>recent note</w:t>
        </w:r>
      </w:hyperlink>
      <w:r>
        <w:t>, with a couple of hikes to mitigate the impact of high inflation becoming embedded in expectations.</w:t>
      </w:r>
    </w:p>
    <w:sectPr w:rsidR="0046417B" w:rsidSect="0046417B">
      <w:pgSz w:w="11906" w:h="16838"/>
      <w:pgMar w:top="1420" w:right="880" w:bottom="1000" w:left="880" w:header="200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5D542" w14:textId="77777777" w:rsidR="00FC750D" w:rsidRDefault="00FC750D" w:rsidP="0046417B">
      <w:pPr>
        <w:spacing w:before="0" w:after="0"/>
      </w:pPr>
      <w:r>
        <w:separator/>
      </w:r>
    </w:p>
  </w:endnote>
  <w:endnote w:type="continuationSeparator" w:id="0">
    <w:p w14:paraId="2BAE7D97" w14:textId="77777777" w:rsidR="00FC750D" w:rsidRDefault="00FC750D" w:rsidP="0046417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8ADDF" w14:textId="77777777" w:rsidR="00380E83" w:rsidRDefault="00380E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CCEA6" w14:textId="77777777" w:rsidR="0046417B" w:rsidRPr="0046417B" w:rsidRDefault="0046417B" w:rsidP="0046417B">
    <w:pPr>
      <w:pStyle w:val="RepeatingFooter"/>
      <w:tabs>
        <w:tab w:val="right" w:pos="10205"/>
      </w:tabs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70528" behindDoc="1" locked="1" layoutInCell="1" allowOverlap="1" wp14:anchorId="0CD11AFA" wp14:editId="4D049F5E">
          <wp:simplePos x="0" y="0"/>
          <wp:positionH relativeFrom="page">
            <wp:posOffset>12700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1872074742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2074742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417B">
      <w:rPr>
        <w:rFonts w:ascii="Poppins Medium" w:hAnsi="Poppins Medium" w:cs="Poppins Medium"/>
      </w:rPr>
      <w:t xml:space="preserve">Andrew Goodwin </w:t>
    </w:r>
    <w:r>
      <w:t xml:space="preserve">| Chief UK Economist | agoodwin@oxfordeconomics.com </w:t>
    </w:r>
    <w:r>
      <w:tab/>
    </w:r>
    <w:r w:rsidRPr="0046417B">
      <w:rPr>
        <w:rFonts w:ascii="Poppins Medium" w:hAnsi="Poppins Medium" w:cs="Poppins Medium"/>
      </w:rPr>
      <w:t xml:space="preserve">Page </w:t>
    </w:r>
    <w:r>
      <w:rPr>
        <w:rFonts w:ascii="Poppins Medium" w:hAnsi="Poppins Medium" w:cs="Poppins Medium"/>
      </w:rPr>
      <w:fldChar w:fldCharType="begin"/>
    </w:r>
    <w:r>
      <w:rPr>
        <w:rFonts w:ascii="Poppins Medium" w:hAnsi="Poppins Medium" w:cs="Poppins Medium"/>
      </w:rPr>
      <w:instrText xml:space="preserve"> PAGE  \* MERGEFORMAT </w:instrText>
    </w:r>
    <w:r>
      <w:rPr>
        <w:rFonts w:ascii="Poppins Medium" w:hAnsi="Poppins Medium" w:cs="Poppins Medium"/>
      </w:rPr>
      <w:fldChar w:fldCharType="separate"/>
    </w:r>
    <w:r>
      <w:rPr>
        <w:rFonts w:ascii="Poppins Medium" w:hAnsi="Poppins Medium" w:cs="Poppins Medium"/>
        <w:noProof/>
      </w:rPr>
      <w:t>3</w:t>
    </w:r>
    <w:r>
      <w:rPr>
        <w:rFonts w:ascii="Poppins Medium" w:hAnsi="Poppins Medium" w:cs="Poppins Medium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8278C" w14:textId="77777777" w:rsidR="0046417B" w:rsidRPr="0046417B" w:rsidRDefault="0046417B" w:rsidP="0046417B">
    <w:pPr>
      <w:pStyle w:val="Author"/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7456" behindDoc="1" locked="1" layoutInCell="1" allowOverlap="1" wp14:anchorId="6909C842" wp14:editId="37546B49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151653702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6537021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1312" behindDoc="1" locked="1" layoutInCell="1" allowOverlap="1" wp14:anchorId="3CA4AB28" wp14:editId="1446FCFE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161759534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7595344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417B">
      <w:rPr>
        <w:rFonts w:ascii="Poppins Medium" w:hAnsi="Poppins Medium" w:cs="Poppins Medium"/>
      </w:rPr>
      <w:t xml:space="preserve">Andrew Goodwin </w:t>
    </w:r>
    <w:r>
      <w:t>| Chief UK Economist | agoodwin@oxfordeconomics.com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D1876" w14:textId="77777777" w:rsidR="00FC750D" w:rsidRDefault="00FC750D" w:rsidP="0046417B">
      <w:pPr>
        <w:spacing w:before="0" w:after="0"/>
      </w:pPr>
      <w:r>
        <w:separator/>
      </w:r>
    </w:p>
  </w:footnote>
  <w:footnote w:type="continuationSeparator" w:id="0">
    <w:p w14:paraId="59CC113D" w14:textId="77777777" w:rsidR="00FC750D" w:rsidRDefault="00FC750D" w:rsidP="0046417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3DF93" w14:textId="77777777" w:rsidR="00380E83" w:rsidRDefault="00380E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6796" w14:textId="0A589F02" w:rsidR="0046417B" w:rsidRPr="0046417B" w:rsidRDefault="0046417B" w:rsidP="0046417B">
    <w:pPr>
      <w:pStyle w:val="RepeatingHeader"/>
      <w:rPr>
        <w:rFonts w:ascii="Poppins Medium" w:hAnsi="Poppins Medium" w:cs="Poppins Medium"/>
      </w:rPr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9504" behindDoc="1" locked="1" layoutInCell="1" allowOverlap="1" wp14:anchorId="34C9B63D" wp14:editId="39610599">
          <wp:simplePos x="0" y="0"/>
          <wp:positionH relativeFrom="page">
            <wp:posOffset>5207000</wp:posOffset>
          </wp:positionH>
          <wp:positionV relativeFrom="page">
            <wp:posOffset>304800</wp:posOffset>
          </wp:positionV>
          <wp:extent cx="1799167" cy="254000"/>
          <wp:effectExtent l="0" t="0" r="0" b="0"/>
          <wp:wrapNone/>
          <wp:docPr id="33345320" name="Graphic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345320" name="Graphic 1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8480" behindDoc="1" locked="1" layoutInCell="1" allowOverlap="1" wp14:anchorId="5A208457" wp14:editId="2C81DB9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710663"/>
          <wp:effectExtent l="0" t="0" r="0" b="0"/>
          <wp:wrapNone/>
          <wp:docPr id="1646942483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6942483" name="Picture 1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81900" cy="7106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</w:rPr>
      <w:t>RESEARCH BRIEFING</w:t>
    </w:r>
    <w:r w:rsidRPr="0046417B">
      <w:rPr>
        <w:rFonts w:ascii="Poppins Medium" w:hAnsi="Poppins Medium" w:cs="Poppins Medium"/>
      </w:rPr>
      <w:t xml:space="preserve"> | </w:t>
    </w:r>
    <w:r>
      <w:rPr>
        <w:rFonts w:ascii="Poppins Medium" w:hAnsi="Poppins Medium" w:cs="Poppins Medium"/>
      </w:rPr>
      <w:t>UK</w:t>
    </w:r>
  </w:p>
  <w:p w14:paraId="7377D283" w14:textId="51D81636" w:rsidR="0046417B" w:rsidRPr="0046417B" w:rsidRDefault="004315FD" w:rsidP="0046417B">
    <w:pPr>
      <w:pStyle w:val="RepeatingHeader"/>
    </w:pPr>
    <w:r w:rsidRPr="004315FD">
      <w:t xml:space="preserve">MPC maintains a watching brief; but chances </w:t>
    </w:r>
    <w:r w:rsidR="002B77A1">
      <w:t>of higher rates</w:t>
    </w:r>
    <w:r w:rsidRPr="004315FD">
      <w:t xml:space="preserve"> are rising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095D" w14:textId="77777777" w:rsidR="0046417B" w:rsidRDefault="0046417B" w:rsidP="0046417B">
    <w:r>
      <w:rPr>
        <w:noProof/>
        <w14:ligatures w14:val="standardContextual"/>
      </w:rPr>
      <w:drawing>
        <wp:anchor distT="0" distB="0" distL="114300" distR="114300" simplePos="0" relativeHeight="251666432" behindDoc="1" locked="1" layoutInCell="1" allowOverlap="1" wp14:anchorId="4562BBFB" wp14:editId="77D2560F">
          <wp:simplePos x="0" y="0"/>
          <wp:positionH relativeFrom="page">
            <wp:posOffset>431800</wp:posOffset>
          </wp:positionH>
          <wp:positionV relativeFrom="page">
            <wp:posOffset>558800</wp:posOffset>
          </wp:positionV>
          <wp:extent cx="2306997" cy="520700"/>
          <wp:effectExtent l="0" t="0" r="0" b="0"/>
          <wp:wrapNone/>
          <wp:docPr id="1526933817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6933817" name="Graphic 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6997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5408" behindDoc="1" locked="1" layoutInCell="1" allowOverlap="1" wp14:anchorId="5B3C8166" wp14:editId="3B3CFAF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1061884"/>
          <wp:effectExtent l="0" t="0" r="0" b="5080"/>
          <wp:wrapNone/>
          <wp:docPr id="86474511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4745117" name="Picture 7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81900" cy="10618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D740E66" wp14:editId="58593BE4">
              <wp:simplePos x="0" y="0"/>
              <wp:positionH relativeFrom="margin">
                <wp:align>right</wp:align>
              </wp:positionH>
              <wp:positionV relativeFrom="page">
                <wp:posOffset>761365</wp:posOffset>
              </wp:positionV>
              <wp:extent cx="1447800" cy="317500"/>
              <wp:effectExtent l="0" t="0" r="0" b="6350"/>
              <wp:wrapNone/>
              <wp:docPr id="1482076515" name="DatePicker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4478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id w:val="-565104014"/>
                            <w:lock w:val="sdtLocked"/>
                            <w:placeholder>
                              <w:docPart w:val="DefaultPlaceholder_-1854013437"/>
                            </w:placeholder>
                            <w:date w:fullDate="2026-04-30T11:07:00Z">
                              <w:dateFormat w:val="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6CA4049" w14:textId="77777777" w:rsidR="0046417B" w:rsidRDefault="0046417B" w:rsidP="0046417B">
                              <w:pPr>
                                <w:pStyle w:val="PublishDate"/>
                              </w:pPr>
                              <w:r>
                                <w:t>30 April 2026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40E66" id="_x0000_t202" coordsize="21600,21600" o:spt="202" path="m,l,21600r21600,l21600,xe">
              <v:stroke joinstyle="miter"/>
              <v:path gradientshapeok="t" o:connecttype="rect"/>
            </v:shapetype>
            <v:shape id="DatePickerShape" o:spid="_x0000_s1026" type="#_x0000_t202" style="position:absolute;margin-left:62.8pt;margin-top:59.95pt;width:114pt;height:2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" filled="f" stroked="f" strokeweight=".5pt">
              <v:fill o:detectmouseclick="t"/>
              <v:path arrowok="t"/>
              <o:lock v:ext="edit" aspectratio="t"/>
              <v:textbox>
                <w:txbxContent>
                  <w:sdt>
                    <w:sdtPr>
                      <w:id w:val="-565104014"/>
                      <w:lock w:val="sdtLocked"/>
                      <w:placeholder>
                        <w:docPart w:val="DefaultPlaceholder_-1854013437"/>
                      </w:placeholder>
                      <w:date w:fullDate="2026-04-30T11:07:00Z">
                        <w:dateFormat w:val="d MMMM yyyy"/>
                        <w:lid w:val="en-GB"/>
                        <w:storeMappedDataAs w:val="dateTime"/>
                        <w:calendar w:val="gregorian"/>
                      </w:date>
                    </w:sdtPr>
                    <w:sdtContent>
                      <w:p w14:paraId="46CA4049" w14:textId="77777777" w:rsidR="0046417B" w:rsidRDefault="0046417B" w:rsidP="0046417B">
                        <w:pPr>
                          <w:pStyle w:val="PublishDate"/>
                        </w:pPr>
                        <w:r>
                          <w:t>30 April 2026</w:t>
                        </w:r>
                      </w:p>
                    </w:sdtContent>
                  </w:sdt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725B75B0" wp14:editId="39BED54D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4089400" cy="812800"/>
              <wp:effectExtent l="0" t="0" r="0" b="6350"/>
              <wp:wrapNone/>
              <wp:docPr id="2044589593" name="ProductType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4089400" cy="812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05AEEE5" w14:textId="1BC959C9" w:rsidR="0046417B" w:rsidRPr="0046417B" w:rsidRDefault="0046417B" w:rsidP="0046417B">
                          <w:pPr>
                            <w:pStyle w:val="ProductDescription"/>
                            <w:rPr>
                              <w:color w:val="00CCFF"/>
                            </w:rPr>
                          </w:pPr>
                          <w:r>
                            <w:t xml:space="preserve">Research Briefing | </w:t>
                          </w:r>
                          <w:r>
                            <w:rPr>
                              <w:color w:val="00CCFF"/>
                            </w:rPr>
                            <w:t>UK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5B75B0" id="ProductTypeShape" o:spid="_x0000_s1027" type="#_x0000_t202" style="position:absolute;margin-left:270.8pt;margin-top:0;width:322pt;height:64pt;z-index:251659264;visibility:visible;mso-wrap-style:square;mso-wrap-distance-left:9pt;mso-wrap-distance-top:0;mso-wrap-distance-right:9pt;mso-wrap-distance-bottom:0;mso-position-horizontal:right;mso-position-horizontal-relative:margin;mso-position-vertical:top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" filled="f" stroked="f" strokeweight=".5pt">
              <v:fill o:detectmouseclick="t"/>
              <v:path arrowok="t"/>
              <o:lock v:ext="edit" aspectratio="t"/>
              <v:textbox>
                <w:txbxContent>
                  <w:p w14:paraId="505AEEE5" w14:textId="1BC959C9" w:rsidR="0046417B" w:rsidRPr="0046417B" w:rsidRDefault="0046417B" w:rsidP="0046417B">
                    <w:pPr>
                      <w:pStyle w:val="ProductDescription"/>
                      <w:rPr>
                        <w:color w:val="00CCFF"/>
                      </w:rPr>
                    </w:pPr>
                    <w:r>
                      <w:t xml:space="preserve">Research Briefing | </w:t>
                    </w:r>
                    <w:r>
                      <w:rPr>
                        <w:color w:val="00CCFF"/>
                      </w:rPr>
                      <w:t>UK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617609C1" w14:textId="77777777" w:rsidR="0046417B" w:rsidRDefault="0046417B" w:rsidP="0046417B"/>
  <w:p w14:paraId="08610A35" w14:textId="480F845C" w:rsidR="0046417B" w:rsidRPr="0046417B" w:rsidRDefault="00D07458" w:rsidP="0046417B">
    <w:pPr>
      <w:pStyle w:val="Headline"/>
    </w:pPr>
    <w:r>
      <w:t>MPC maintains a watching brief</w:t>
    </w:r>
    <w:r w:rsidR="00540B8C">
      <w:t>,</w:t>
    </w:r>
    <w:r>
      <w:t xml:space="preserve"> </w:t>
    </w:r>
    <w:r w:rsidR="004315FD">
      <w:t xml:space="preserve">but chances of </w:t>
    </w:r>
    <w:r w:rsidR="002B77A1">
      <w:t>higher rates</w:t>
    </w:r>
    <w:r w:rsidR="004315FD">
      <w:t xml:space="preserve"> are rising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7A27"/>
    <w:multiLevelType w:val="multilevel"/>
    <w:tmpl w:val="0C0221C2"/>
    <w:lvl w:ilvl="0">
      <w:start w:val="1"/>
      <w:numFmt w:val="bullet"/>
      <w:pStyle w:val="Body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D3BB9"/>
    <w:multiLevelType w:val="hybridMultilevel"/>
    <w:tmpl w:val="51F21C4E"/>
    <w:lvl w:ilvl="0" w:tplc="234A44C8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1"/>
  </w:num>
  <w:num w:numId="2" w16cid:durableId="1590693657">
    <w:abstractNumId w:val="3"/>
  </w:num>
  <w:num w:numId="3" w16cid:durableId="1924102410">
    <w:abstractNumId w:val="2"/>
  </w:num>
  <w:num w:numId="4" w16cid:durableId="1817529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7B"/>
    <w:rsid w:val="000134F8"/>
    <w:rsid w:val="000157FB"/>
    <w:rsid w:val="0002225C"/>
    <w:rsid w:val="00122641"/>
    <w:rsid w:val="00157B7C"/>
    <w:rsid w:val="00192F8B"/>
    <w:rsid w:val="001B2C75"/>
    <w:rsid w:val="001D1A48"/>
    <w:rsid w:val="001D7688"/>
    <w:rsid w:val="001F3813"/>
    <w:rsid w:val="00211627"/>
    <w:rsid w:val="00282C82"/>
    <w:rsid w:val="002837C6"/>
    <w:rsid w:val="002B77A1"/>
    <w:rsid w:val="002F35B2"/>
    <w:rsid w:val="002F4010"/>
    <w:rsid w:val="0031512B"/>
    <w:rsid w:val="003265E5"/>
    <w:rsid w:val="003725CA"/>
    <w:rsid w:val="00380E83"/>
    <w:rsid w:val="003E32CA"/>
    <w:rsid w:val="00414777"/>
    <w:rsid w:val="004315FD"/>
    <w:rsid w:val="004455F7"/>
    <w:rsid w:val="0046417B"/>
    <w:rsid w:val="00466774"/>
    <w:rsid w:val="00491355"/>
    <w:rsid w:val="00497F4C"/>
    <w:rsid w:val="004D3CC7"/>
    <w:rsid w:val="00522C6A"/>
    <w:rsid w:val="00540B8C"/>
    <w:rsid w:val="00570164"/>
    <w:rsid w:val="00587E6A"/>
    <w:rsid w:val="005B548F"/>
    <w:rsid w:val="005F7CCD"/>
    <w:rsid w:val="00603642"/>
    <w:rsid w:val="00627CB0"/>
    <w:rsid w:val="006C70AC"/>
    <w:rsid w:val="007176CF"/>
    <w:rsid w:val="0075748A"/>
    <w:rsid w:val="00775C44"/>
    <w:rsid w:val="00787968"/>
    <w:rsid w:val="007A0B8F"/>
    <w:rsid w:val="007D2E98"/>
    <w:rsid w:val="00814066"/>
    <w:rsid w:val="008509D8"/>
    <w:rsid w:val="008B203B"/>
    <w:rsid w:val="0091520F"/>
    <w:rsid w:val="009352BC"/>
    <w:rsid w:val="00960C1A"/>
    <w:rsid w:val="00990406"/>
    <w:rsid w:val="00991613"/>
    <w:rsid w:val="009945F6"/>
    <w:rsid w:val="00996E8A"/>
    <w:rsid w:val="009A08C8"/>
    <w:rsid w:val="009B254A"/>
    <w:rsid w:val="009D56B1"/>
    <w:rsid w:val="00A328FA"/>
    <w:rsid w:val="00A52A3D"/>
    <w:rsid w:val="00A63074"/>
    <w:rsid w:val="00A93534"/>
    <w:rsid w:val="00B462F1"/>
    <w:rsid w:val="00B96296"/>
    <w:rsid w:val="00BB2E62"/>
    <w:rsid w:val="00BB6EFA"/>
    <w:rsid w:val="00C75F9D"/>
    <w:rsid w:val="00C77772"/>
    <w:rsid w:val="00C77CC8"/>
    <w:rsid w:val="00CD083B"/>
    <w:rsid w:val="00D07458"/>
    <w:rsid w:val="00D219B2"/>
    <w:rsid w:val="00D3163E"/>
    <w:rsid w:val="00D5230F"/>
    <w:rsid w:val="00D56E72"/>
    <w:rsid w:val="00D82B67"/>
    <w:rsid w:val="00D96D45"/>
    <w:rsid w:val="00DB4648"/>
    <w:rsid w:val="00E010FE"/>
    <w:rsid w:val="00E15C26"/>
    <w:rsid w:val="00EB379B"/>
    <w:rsid w:val="00EE0746"/>
    <w:rsid w:val="00EF469D"/>
    <w:rsid w:val="00F04EA8"/>
    <w:rsid w:val="00F14D93"/>
    <w:rsid w:val="00F53B54"/>
    <w:rsid w:val="00F558D7"/>
    <w:rsid w:val="00F728C4"/>
    <w:rsid w:val="00F97CD3"/>
    <w:rsid w:val="00FC750D"/>
    <w:rsid w:val="00FE2690"/>
    <w:rsid w:val="00FF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EFB711"/>
  <w15:chartTrackingRefBased/>
  <w15:docId w15:val="{5B63D422-5327-46ED-93A3-93E8B29A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17B"/>
    <w:pPr>
      <w:spacing w:before="270" w:after="10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17B"/>
    <w:pPr>
      <w:keepNext/>
      <w:keepLines/>
      <w:spacing w:before="120" w:after="120" w:line="259" w:lineRule="auto"/>
      <w:outlineLvl w:val="0"/>
    </w:pPr>
    <w:rPr>
      <w:rFonts w:ascii="Poppins Medium" w:eastAsiaTheme="majorEastAsia" w:hAnsi="Poppins Medium" w:cs="Poppins Medium"/>
      <w:bCs/>
      <w:caps/>
      <w:color w:val="455055"/>
      <w:sz w:val="24"/>
      <w:szCs w:val="24"/>
    </w:rPr>
  </w:style>
  <w:style w:type="paragraph" w:styleId="Heading2">
    <w:name w:val="heading 2"/>
    <w:basedOn w:val="PlainText"/>
    <w:next w:val="Normal"/>
    <w:link w:val="Heading2Char"/>
    <w:uiPriority w:val="9"/>
    <w:unhideWhenUsed/>
    <w:qFormat/>
    <w:rsid w:val="0046417B"/>
    <w:pPr>
      <w:pBdr>
        <w:bottom w:val="single" w:sz="8" w:space="1" w:color="008AC8"/>
      </w:pBdr>
      <w:spacing w:before="310"/>
      <w:outlineLvl w:val="1"/>
    </w:pPr>
    <w:rPr>
      <w:rFonts w:ascii="Poppins Medium" w:hAnsi="Poppins Medium"/>
      <w:color w:val="455055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17B"/>
    <w:pPr>
      <w:keepNext/>
      <w:keepLines/>
      <w:spacing w:after="120" w:line="259" w:lineRule="auto"/>
      <w:outlineLvl w:val="2"/>
    </w:pPr>
    <w:rPr>
      <w:rFonts w:ascii="Poppins Medium" w:eastAsiaTheme="majorEastAsia" w:hAnsi="Poppins Medium" w:cs="Poppins Medium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417B"/>
    <w:pPr>
      <w:keepNext/>
      <w:keepLines/>
      <w:outlineLvl w:val="3"/>
    </w:pPr>
    <w:rPr>
      <w:rFonts w:eastAsiaTheme="majorEastAsia"/>
      <w:iCs/>
      <w:color w:val="455055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46417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4641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46417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46417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46417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17B"/>
    <w:rPr>
      <w:rFonts w:ascii="Poppins Medium" w:eastAsiaTheme="majorEastAsia" w:hAnsi="Poppins Medium" w:cs="Poppins Medium"/>
      <w:bCs/>
      <w:caps/>
      <w:color w:val="455055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6417B"/>
    <w:rPr>
      <w:rFonts w:ascii="Poppins Medium" w:hAnsi="Poppins Medium" w:cs="Poppins Light"/>
      <w:color w:val="455055"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6417B"/>
    <w:rPr>
      <w:rFonts w:ascii="Poppins Medium" w:eastAsiaTheme="majorEastAsia" w:hAnsi="Poppins Medium" w:cs="Poppins Medium"/>
      <w:color w:val="000000" w:themeColor="text1"/>
      <w:kern w:val="0"/>
      <w:sz w:val="18"/>
      <w:szCs w:val="1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6417B"/>
    <w:rPr>
      <w:rFonts w:ascii="Poppins Light" w:eastAsiaTheme="majorEastAsia" w:hAnsi="Poppins Light" w:cs="Poppins Light"/>
      <w:iCs/>
      <w:color w:val="455055"/>
      <w:kern w:val="0"/>
      <w:sz w:val="18"/>
      <w:szCs w:val="18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46417B"/>
    <w:rPr>
      <w:rFonts w:asciiTheme="majorHAnsi" w:eastAsiaTheme="majorEastAsia" w:hAnsiTheme="majorHAnsi" w:cstheme="majorBidi"/>
      <w:color w:val="0F4761" w:themeColor="accent1" w:themeShade="BF"/>
      <w:kern w:val="0"/>
      <w:sz w:val="18"/>
      <w:szCs w:val="1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17B"/>
    <w:rPr>
      <w:rFonts w:asciiTheme="majorHAnsi" w:eastAsiaTheme="majorEastAsia" w:hAnsiTheme="majorHAnsi" w:cstheme="majorBidi"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17B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17B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17B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itle">
    <w:name w:val="Title"/>
    <w:basedOn w:val="Normal"/>
    <w:next w:val="Normal"/>
    <w:link w:val="TitleChar"/>
    <w:uiPriority w:val="10"/>
    <w:locked/>
    <w:rsid w:val="0046417B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17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locked/>
    <w:rsid w:val="0046417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6417B"/>
    <w:rPr>
      <w:rFonts w:eastAsiaTheme="minorEastAsia"/>
      <w:color w:val="5A5A5A" w:themeColor="text1" w:themeTint="A5"/>
      <w:spacing w:val="15"/>
      <w:kern w:val="0"/>
      <w:sz w:val="22"/>
      <w:szCs w:val="1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6417B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17B"/>
    <w:rPr>
      <w:rFonts w:ascii="Poppins Light" w:hAnsi="Poppins Light" w:cs="Poppins Light"/>
      <w:i/>
      <w:iCs/>
      <w:color w:val="404040" w:themeColor="text1" w:themeTint="BF"/>
      <w:kern w:val="0"/>
      <w:sz w:val="18"/>
      <w:szCs w:val="18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46417B"/>
    <w:pPr>
      <w:numPr>
        <w:numId w:val="2"/>
      </w:numPr>
      <w:spacing w:after="0" w:line="240" w:lineRule="auto"/>
      <w:ind w:left="0" w:firstLine="0"/>
      <w:contextualSpacing/>
    </w:pPr>
    <w:rPr>
      <w:rFonts w:ascii="Segoe UI" w:hAnsi="Segoe UI" w:cs="Segoe UI"/>
      <w:color w:val="000000" w:themeColor="text1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locked/>
    <w:rsid w:val="0046417B"/>
    <w:rPr>
      <w:i/>
      <w:iCs/>
      <w:noProof w:val="0"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46417B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17B"/>
    <w:rPr>
      <w:rFonts w:ascii="Poppins Light" w:hAnsi="Poppins Light" w:cs="Poppins Light"/>
      <w:i/>
      <w:iCs/>
      <w:color w:val="156082" w:themeColor="accent1"/>
      <w:kern w:val="0"/>
      <w:sz w:val="18"/>
      <w:szCs w:val="18"/>
      <w14:ligatures w14:val="none"/>
    </w:rPr>
  </w:style>
  <w:style w:type="character" w:styleId="IntenseReference">
    <w:name w:val="Intense Reference"/>
    <w:basedOn w:val="DefaultParagraphFont"/>
    <w:uiPriority w:val="32"/>
    <w:locked/>
    <w:rsid w:val="0046417B"/>
    <w:rPr>
      <w:b/>
      <w:bCs/>
      <w:smallCaps/>
      <w:noProof w:val="0"/>
      <w:color w:val="156082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locked/>
    <w:rsid w:val="0046417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417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417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417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46417B"/>
    <w:rPr>
      <w:noProof w:val="0"/>
    </w:rPr>
  </w:style>
  <w:style w:type="character" w:styleId="Hyperlink">
    <w:name w:val="Hyperlink"/>
    <w:basedOn w:val="DefaultParagraphFont"/>
    <w:uiPriority w:val="99"/>
    <w:unhideWhenUsed/>
    <w:rsid w:val="0046417B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46417B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46417B"/>
    <w:pPr>
      <w:spacing w:before="0"/>
      <w:jc w:val="right"/>
    </w:pPr>
    <w:rPr>
      <w:rFonts w:ascii="Poppins Medium" w:hAnsi="Poppins Medium" w:cs="Poppins Medium"/>
      <w:caps/>
      <w:color w:val="FFFFFF" w:themeColor="background1"/>
      <w:sz w:val="30"/>
      <w:szCs w:val="30"/>
    </w:rPr>
  </w:style>
  <w:style w:type="paragraph" w:customStyle="1" w:styleId="Headline">
    <w:name w:val="Headline"/>
    <w:basedOn w:val="Normal"/>
    <w:next w:val="Normal"/>
    <w:link w:val="HeadlineChar"/>
    <w:qFormat/>
    <w:rsid w:val="0046417B"/>
    <w:pPr>
      <w:spacing w:before="1120" w:after="260" w:line="680" w:lineRule="exact"/>
      <w:contextualSpacing/>
    </w:pPr>
    <w:rPr>
      <w:color w:val="455055"/>
      <w:sz w:val="50"/>
      <w:szCs w:val="50"/>
    </w:rPr>
  </w:style>
  <w:style w:type="paragraph" w:customStyle="1" w:styleId="ExhibitTitle">
    <w:name w:val="Exhibit Title"/>
    <w:basedOn w:val="Normal"/>
    <w:qFormat/>
    <w:rsid w:val="0046417B"/>
    <w:pPr>
      <w:keepNext/>
      <w:pBdr>
        <w:bottom w:val="single" w:sz="4" w:space="1" w:color="3E515A"/>
      </w:pBdr>
      <w:spacing w:before="240" w:after="0"/>
    </w:pPr>
    <w:rPr>
      <w:rFonts w:ascii="Poppins Medium" w:hAnsi="Poppins Medium" w:cs="Poppins Medium"/>
      <w:color w:val="455055"/>
      <w:szCs w:val="24"/>
    </w:rPr>
  </w:style>
  <w:style w:type="paragraph" w:customStyle="1" w:styleId="ExhibitNote">
    <w:name w:val="Exhibit Note"/>
    <w:basedOn w:val="Normal"/>
    <w:next w:val="Normal"/>
    <w:rsid w:val="0046417B"/>
    <w:pPr>
      <w:shd w:val="clear" w:color="auto" w:fill="D6E2FA"/>
      <w:spacing w:after="0"/>
    </w:pPr>
    <w:rPr>
      <w:color w:val="595959" w:themeColor="text1" w:themeTint="A6"/>
    </w:rPr>
  </w:style>
  <w:style w:type="paragraph" w:customStyle="1" w:styleId="ExhibitSource">
    <w:name w:val="Exhibit Source"/>
    <w:next w:val="Normal"/>
    <w:qFormat/>
    <w:rsid w:val="0046417B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before="40" w:after="120" w:line="240" w:lineRule="auto"/>
      <w:contextualSpacing/>
    </w:pPr>
    <w:rPr>
      <w:rFonts w:ascii="Poppins Light" w:hAnsi="Poppins Light" w:cs="Poppins Light"/>
      <w:color w:val="3E515A"/>
      <w:kern w:val="0"/>
      <w:sz w:val="16"/>
      <w:szCs w:val="16"/>
      <w14:ligatures w14:val="none"/>
    </w:rPr>
  </w:style>
  <w:style w:type="paragraph" w:customStyle="1" w:styleId="Glossary">
    <w:name w:val="Glossary"/>
    <w:basedOn w:val="Normal"/>
    <w:rsid w:val="0046417B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basedOn w:val="Normal"/>
    <w:link w:val="BulletChar"/>
    <w:qFormat/>
    <w:rsid w:val="0046417B"/>
    <w:pPr>
      <w:numPr>
        <w:numId w:val="3"/>
      </w:numPr>
      <w:pBdr>
        <w:top w:val="single" w:sz="8" w:space="12" w:color="008AC8"/>
        <w:bottom w:val="single" w:sz="8" w:space="12" w:color="008AC8"/>
      </w:pBdr>
      <w:spacing w:before="150" w:after="0" w:line="250" w:lineRule="exact"/>
      <w:ind w:left="357" w:hanging="357"/>
    </w:pPr>
    <w:rPr>
      <w:rFonts w:ascii="Poppins Medium" w:hAnsi="Poppins Medium" w:cs="Poppins Medium"/>
    </w:rPr>
  </w:style>
  <w:style w:type="character" w:customStyle="1" w:styleId="BulletChar">
    <w:name w:val="Bullet Char"/>
    <w:basedOn w:val="DefaultParagraphFont"/>
    <w:link w:val="Bullet"/>
    <w:rsid w:val="0046417B"/>
    <w:rPr>
      <w:rFonts w:ascii="Poppins Medium" w:hAnsi="Poppins Medium" w:cs="Poppins Medium"/>
      <w:color w:val="000000" w:themeColor="text1"/>
      <w:kern w:val="0"/>
      <w:sz w:val="18"/>
      <w:szCs w:val="18"/>
      <w14:ligatures w14:val="none"/>
    </w:rPr>
  </w:style>
  <w:style w:type="paragraph" w:customStyle="1" w:styleId="TableHeader">
    <w:name w:val="Table Header"/>
    <w:basedOn w:val="Normal"/>
    <w:qFormat/>
    <w:rsid w:val="0046417B"/>
    <w:pPr>
      <w:spacing w:before="40" w:after="40" w:line="220" w:lineRule="exact"/>
    </w:pPr>
    <w:rPr>
      <w:rFonts w:ascii="Poppins Medium" w:hAnsi="Poppins Medium" w:cs="Poppins SemiBold"/>
      <w:caps/>
      <w:color w:val="455055"/>
      <w:szCs w:val="20"/>
    </w:rPr>
  </w:style>
  <w:style w:type="character" w:customStyle="1" w:styleId="SummaryChar">
    <w:name w:val="Summary Char"/>
    <w:basedOn w:val="DefaultParagraphFont"/>
    <w:link w:val="Summary"/>
    <w:locked/>
    <w:rsid w:val="0046417B"/>
    <w:rPr>
      <w:rFonts w:ascii="Poppins" w:hAnsi="Poppins" w:cs="Poppins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46417B"/>
    <w:pPr>
      <w:numPr>
        <w:numId w:val="1"/>
      </w:numPr>
      <w:ind w:left="0" w:firstLine="0"/>
    </w:pPr>
    <w:rPr>
      <w:rFonts w:ascii="Poppins" w:hAnsi="Poppins" w:cs="Poppins"/>
      <w:kern w:val="2"/>
      <w:sz w:val="24"/>
      <w:szCs w:val="24"/>
      <w14:ligatures w14:val="standardContextual"/>
    </w:rPr>
  </w:style>
  <w:style w:type="paragraph" w:customStyle="1" w:styleId="TableData">
    <w:name w:val="Table Data"/>
    <w:basedOn w:val="Normal"/>
    <w:link w:val="TableDataChar"/>
    <w:qFormat/>
    <w:rsid w:val="0046417B"/>
    <w:pPr>
      <w:spacing w:before="40" w:after="40" w:line="220" w:lineRule="exact"/>
    </w:pPr>
    <w:rPr>
      <w:sz w:val="16"/>
      <w:szCs w:val="16"/>
    </w:rPr>
  </w:style>
  <w:style w:type="character" w:customStyle="1" w:styleId="TableDataChar">
    <w:name w:val="Table Data Char"/>
    <w:basedOn w:val="DefaultParagraphFont"/>
    <w:link w:val="TableData"/>
    <w:rsid w:val="0046417B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customStyle="1" w:styleId="HeadlineChar">
    <w:name w:val="Headline Char"/>
    <w:basedOn w:val="DefaultParagraphFont"/>
    <w:link w:val="Headline"/>
    <w:rsid w:val="0046417B"/>
    <w:rPr>
      <w:rFonts w:ascii="Poppins Light" w:hAnsi="Poppins Light" w:cs="Poppins Light"/>
      <w:color w:val="455055"/>
      <w:kern w:val="0"/>
      <w:sz w:val="50"/>
      <w:szCs w:val="50"/>
      <w14:ligatures w14:val="none"/>
    </w:rPr>
  </w:style>
  <w:style w:type="paragraph" w:customStyle="1" w:styleId="PublishDate">
    <w:name w:val="Publish Date"/>
    <w:basedOn w:val="Normal"/>
    <w:link w:val="PublishDateChar"/>
    <w:qFormat/>
    <w:rsid w:val="0046417B"/>
    <w:pPr>
      <w:spacing w:before="0" w:after="0" w:line="270" w:lineRule="exact"/>
      <w:jc w:val="right"/>
    </w:pPr>
    <w:rPr>
      <w:rFonts w:ascii="Poppins SemiBold" w:hAnsi="Poppins SemiBold" w:cs="Poppins SemiBold"/>
      <w:caps/>
      <w:color w:val="FFFFFF" w:themeColor="background1"/>
      <w:sz w:val="20"/>
      <w:szCs w:val="20"/>
    </w:rPr>
  </w:style>
  <w:style w:type="paragraph" w:customStyle="1" w:styleId="Author">
    <w:name w:val="Author"/>
    <w:link w:val="AuthorChar"/>
    <w:qFormat/>
    <w:rsid w:val="0046417B"/>
    <w:pPr>
      <w:pBdr>
        <w:top w:val="single" w:sz="4" w:space="1" w:color="008AC8"/>
      </w:pBdr>
      <w:spacing w:before="40" w:after="40" w:line="240" w:lineRule="auto"/>
    </w:pPr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ublishDateChar">
    <w:name w:val="Publish Date Char"/>
    <w:basedOn w:val="DefaultParagraphFont"/>
    <w:link w:val="PublishDate"/>
    <w:rsid w:val="0046417B"/>
    <w:rPr>
      <w:rFonts w:ascii="Poppins SemiBold" w:hAnsi="Poppins SemiBold" w:cs="Poppins SemiBold"/>
      <w:caps/>
      <w:color w:val="FFFFFF" w:themeColor="background1"/>
      <w:kern w:val="0"/>
      <w:sz w:val="20"/>
      <w:szCs w:val="20"/>
      <w14:ligatures w14:val="none"/>
    </w:rPr>
  </w:style>
  <w:style w:type="character" w:customStyle="1" w:styleId="AuthorChar">
    <w:name w:val="Author Char"/>
    <w:basedOn w:val="FooterChar"/>
    <w:link w:val="Author"/>
    <w:rsid w:val="0046417B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6417B"/>
    <w:rPr>
      <w:rFonts w:ascii="Segoe UI" w:hAnsi="Segoe UI" w:cs="Segoe UI"/>
      <w:color w:val="000000" w:themeColor="text1"/>
      <w:kern w:val="0"/>
      <w:sz w:val="20"/>
      <w:szCs w:val="22"/>
      <w14:ligatures w14:val="none"/>
    </w:rPr>
  </w:style>
  <w:style w:type="paragraph" w:customStyle="1" w:styleId="BodyBullet">
    <w:name w:val="Body Bullet"/>
    <w:link w:val="BodyBulletChar"/>
    <w:qFormat/>
    <w:rsid w:val="0046417B"/>
    <w:pPr>
      <w:numPr>
        <w:numId w:val="4"/>
      </w:numPr>
      <w:spacing w:after="100" w:line="220" w:lineRule="exact"/>
      <w:ind w:left="283" w:hanging="283"/>
    </w:pPr>
    <w:rPr>
      <w:rFonts w:ascii="Poppins Light" w:hAnsi="Poppins Light" w:cs="Poppins Light"/>
      <w:bCs/>
      <w:kern w:val="0"/>
      <w:sz w:val="18"/>
      <w:szCs w:val="18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46417B"/>
    <w:rPr>
      <w:rFonts w:ascii="Poppins Light" w:hAnsi="Poppins Light" w:cs="Poppins Light"/>
      <w:bCs/>
      <w:kern w:val="0"/>
      <w:sz w:val="18"/>
      <w:szCs w:val="18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46417B"/>
    <w:pPr>
      <w:pBdr>
        <w:top w:val="single" w:sz="8" w:space="1" w:color="008AC8"/>
      </w:pBdr>
      <w:tabs>
        <w:tab w:val="clear" w:pos="4320"/>
        <w:tab w:val="clear" w:pos="8640"/>
      </w:tabs>
    </w:pPr>
    <w:rPr>
      <w:color w:val="455055"/>
    </w:rPr>
  </w:style>
  <w:style w:type="character" w:customStyle="1" w:styleId="RepeatingFooterChar">
    <w:name w:val="Repeating Footer Char"/>
    <w:basedOn w:val="FooterChar"/>
    <w:link w:val="RepeatingFooter"/>
    <w:rsid w:val="0046417B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46417B"/>
    <w:rPr>
      <w:rFonts w:ascii="Poppins Medium" w:hAnsi="Poppins Medium" w:cs="Poppins Medium"/>
      <w:caps/>
      <w:color w:val="FFFFFF" w:themeColor="background1"/>
      <w:kern w:val="0"/>
      <w:sz w:val="30"/>
      <w:szCs w:val="30"/>
      <w14:ligatures w14:val="none"/>
    </w:rPr>
  </w:style>
  <w:style w:type="character" w:customStyle="1" w:styleId="Bold">
    <w:name w:val="Bold"/>
    <w:basedOn w:val="DefaultParagraphFont"/>
    <w:uiPriority w:val="1"/>
    <w:qFormat/>
    <w:rsid w:val="0046417B"/>
    <w:rPr>
      <w:b/>
      <w:bCs/>
      <w:noProof w:val="0"/>
    </w:rPr>
  </w:style>
  <w:style w:type="character" w:customStyle="1" w:styleId="Italics">
    <w:name w:val="Italics"/>
    <w:uiPriority w:val="1"/>
    <w:qFormat/>
    <w:rsid w:val="0046417B"/>
    <w:rPr>
      <w:i/>
      <w:iCs/>
      <w:noProof w:val="0"/>
    </w:rPr>
  </w:style>
  <w:style w:type="table" w:customStyle="1" w:styleId="OEPTableStyle">
    <w:name w:val="OEP Table Style"/>
    <w:basedOn w:val="TableNormal"/>
    <w:uiPriority w:val="99"/>
    <w:locked/>
    <w:rsid w:val="0046417B"/>
    <w:pPr>
      <w:spacing w:after="0" w:line="240" w:lineRule="auto"/>
    </w:pPr>
    <w:rPr>
      <w:rFonts w:ascii="Poppins" w:eastAsiaTheme="minorEastAsia" w:hAnsi="Poppins"/>
      <w:kern w:val="0"/>
      <w:sz w:val="18"/>
      <w:szCs w:val="20"/>
      <w:lang w:val="en-US" w:eastAsia="ja-JP"/>
      <w14:ligatures w14:val="none"/>
    </w:rPr>
    <w:tblPr>
      <w:tblBorders>
        <w:top w:val="single" w:sz="4" w:space="0" w:color="7F7F7F"/>
        <w:bottom w:val="single" w:sz="4" w:space="0" w:color="7F7F7F"/>
        <w:insideH w:val="single" w:sz="8" w:space="0" w:color="00B0F0"/>
      </w:tblBorders>
    </w:tblPr>
    <w:tcPr>
      <w:shd w:val="clear" w:color="auto" w:fill="auto"/>
    </w:tcPr>
    <w:tblStylePr w:type="firstRow">
      <w:rPr>
        <w:rFonts w:ascii="Poppins" w:hAnsi="Poppins"/>
        <w:b w:val="0"/>
        <w:color w:val="7F7F7F" w:themeColor="text1" w:themeTint="80"/>
        <w:sz w:val="18"/>
      </w:rPr>
      <w:tblPr/>
      <w:tcPr>
        <w:shd w:val="clear" w:color="auto" w:fill="E6F1F9"/>
      </w:tcPr>
    </w:tblStylePr>
  </w:style>
  <w:style w:type="character" w:styleId="PlaceholderText">
    <w:name w:val="Placeholder Text"/>
    <w:basedOn w:val="DefaultParagraphFont"/>
    <w:uiPriority w:val="99"/>
    <w:semiHidden/>
    <w:locked/>
    <w:rsid w:val="0046417B"/>
    <w:rPr>
      <w:noProof w:val="0"/>
      <w:color w:val="808080"/>
    </w:rPr>
  </w:style>
  <w:style w:type="paragraph" w:styleId="BalloonText">
    <w:name w:val="Balloon Text"/>
    <w:basedOn w:val="Normal"/>
    <w:link w:val="BalloonTextChar"/>
    <w:semiHidden/>
    <w:unhideWhenUsed/>
    <w:locked/>
    <w:rsid w:val="0046417B"/>
    <w:pPr>
      <w:spacing w:before="0" w:after="0"/>
    </w:pPr>
  </w:style>
  <w:style w:type="character" w:customStyle="1" w:styleId="BalloonTextChar">
    <w:name w:val="Balloon Text Char"/>
    <w:basedOn w:val="DefaultParagraphFont"/>
    <w:link w:val="BalloonText"/>
    <w:semiHidden/>
    <w:rsid w:val="0046417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46417B"/>
  </w:style>
  <w:style w:type="paragraph" w:styleId="BlockText">
    <w:name w:val="Block Text"/>
    <w:basedOn w:val="Normal"/>
    <w:uiPriority w:val="99"/>
    <w:semiHidden/>
    <w:unhideWhenUsed/>
    <w:locked/>
    <w:rsid w:val="0046417B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46417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417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46417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6417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46417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6417B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46417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6417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46417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6417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46417B"/>
    <w:pPr>
      <w:spacing w:after="1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6417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46417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6417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46417B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6417B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styleId="BookTitle">
    <w:name w:val="Book Title"/>
    <w:basedOn w:val="DefaultParagraphFont"/>
    <w:uiPriority w:val="33"/>
    <w:locked/>
    <w:rsid w:val="0046417B"/>
    <w:rPr>
      <w:b/>
      <w:bCs/>
      <w:i/>
      <w:iCs/>
      <w:noProof w:val="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locked/>
    <w:rsid w:val="0046417B"/>
    <w:pPr>
      <w:spacing w:before="0" w:after="200"/>
    </w:pPr>
    <w:rPr>
      <w:i/>
      <w:iCs/>
      <w:color w:val="0E2841" w:themeColor="text2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46417B"/>
    <w:pPr>
      <w:spacing w:before="0"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6417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ColorfulGrid">
    <w:name w:val="Colorful Grid"/>
    <w:basedOn w:val="TableNormal"/>
    <w:uiPriority w:val="73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locked/>
    <w:rsid w:val="0046417B"/>
    <w:rPr>
      <w:noProof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46417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417B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4641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417B"/>
    <w:rPr>
      <w:rFonts w:ascii="Poppins Light" w:hAnsi="Poppins Light" w:cs="Poppins Light"/>
      <w:b/>
      <w:bCs/>
      <w:color w:val="000000" w:themeColor="text1"/>
      <w:kern w:val="0"/>
      <w:sz w:val="18"/>
      <w:szCs w:val="20"/>
      <w14:ligatures w14:val="none"/>
    </w:rPr>
  </w:style>
  <w:style w:type="table" w:styleId="DarkList">
    <w:name w:val="Dark List"/>
    <w:basedOn w:val="TableNormal"/>
    <w:uiPriority w:val="70"/>
    <w:semiHidden/>
    <w:unhideWhenUsed/>
    <w:locked/>
    <w:rsid w:val="0046417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locked/>
    <w:rsid w:val="0046417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locked/>
    <w:rsid w:val="0046417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locked/>
    <w:rsid w:val="0046417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locked/>
    <w:rsid w:val="0046417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locked/>
    <w:rsid w:val="0046417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locked/>
    <w:rsid w:val="0046417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46417B"/>
  </w:style>
  <w:style w:type="character" w:customStyle="1" w:styleId="DateChar">
    <w:name w:val="Date Char"/>
    <w:basedOn w:val="DefaultParagraphFont"/>
    <w:link w:val="Date"/>
    <w:uiPriority w:val="99"/>
    <w:semiHidden/>
    <w:rsid w:val="0046417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46417B"/>
    <w:pPr>
      <w:spacing w:before="0" w:after="0"/>
    </w:pPr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6417B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46417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6417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Emphasis">
    <w:name w:val="Emphasis"/>
    <w:basedOn w:val="DefaultParagraphFont"/>
    <w:uiPriority w:val="20"/>
    <w:locked/>
    <w:rsid w:val="0046417B"/>
    <w:rPr>
      <w:i/>
      <w:iCs/>
      <w:noProof w:val="0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46417B"/>
    <w:rPr>
      <w:noProof w:val="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46417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6417B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locked/>
    <w:rsid w:val="0046417B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46417B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46417B"/>
    <w:rPr>
      <w:noProof w:val="0"/>
      <w:color w:val="96607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46417B"/>
    <w:rPr>
      <w:noProof w:val="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46417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6417B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table" w:styleId="GridTable1Light">
    <w:name w:val="Grid Table 1 Light"/>
    <w:basedOn w:val="TableNormal"/>
    <w:uiPriority w:val="46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locked/>
    <w:rsid w:val="0046417B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locked/>
    <w:rsid w:val="0046417B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locked/>
    <w:rsid w:val="0046417B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locked/>
    <w:rsid w:val="0046417B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locked/>
    <w:rsid w:val="0046417B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locked/>
    <w:rsid w:val="0046417B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locked/>
    <w:rsid w:val="0046417B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locked/>
    <w:rsid w:val="0046417B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locked/>
    <w:rsid w:val="0046417B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locked/>
    <w:rsid w:val="0046417B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locked/>
    <w:rsid w:val="0046417B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locked/>
    <w:rsid w:val="0046417B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locked/>
    <w:rsid w:val="0046417B"/>
    <w:rPr>
      <w:noProof w:val="0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locked/>
    <w:rsid w:val="0046417B"/>
    <w:rPr>
      <w:noProof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46417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6417B"/>
    <w:rPr>
      <w:rFonts w:ascii="Poppins Light" w:hAnsi="Poppins Light" w:cs="Poppins Light"/>
      <w:i/>
      <w:iCs/>
      <w:color w:val="000000" w:themeColor="text1"/>
      <w:kern w:val="0"/>
      <w:sz w:val="18"/>
      <w:szCs w:val="18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locked/>
    <w:rsid w:val="0046417B"/>
    <w:rPr>
      <w:i/>
      <w:iCs/>
      <w:noProof w:val="0"/>
    </w:rPr>
  </w:style>
  <w:style w:type="character" w:styleId="HTMLCode">
    <w:name w:val="HTML Code"/>
    <w:basedOn w:val="DefaultParagraphFont"/>
    <w:uiPriority w:val="99"/>
    <w:semiHidden/>
    <w:unhideWhenUsed/>
    <w:locked/>
    <w:rsid w:val="0046417B"/>
    <w:rPr>
      <w:rFonts w:ascii="Consolas" w:hAnsi="Consolas"/>
      <w:noProof w:val="0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46417B"/>
    <w:rPr>
      <w:i/>
      <w:iCs/>
      <w:noProof w:val="0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46417B"/>
    <w:rPr>
      <w:rFonts w:ascii="Consolas" w:hAnsi="Consolas"/>
      <w:noProof w:val="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46417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417B"/>
    <w:rPr>
      <w:rFonts w:ascii="Consolas" w:hAnsi="Consolas" w:cs="Poppins Light"/>
      <w:color w:val="000000" w:themeColor="text1"/>
      <w:kern w:val="0"/>
      <w:sz w:val="18"/>
      <w:szCs w:val="20"/>
      <w14:ligatures w14:val="none"/>
    </w:rPr>
  </w:style>
  <w:style w:type="character" w:styleId="HTMLSample">
    <w:name w:val="HTML Sample"/>
    <w:basedOn w:val="DefaultParagraphFont"/>
    <w:uiPriority w:val="99"/>
    <w:semiHidden/>
    <w:unhideWhenUsed/>
    <w:locked/>
    <w:rsid w:val="0046417B"/>
    <w:rPr>
      <w:rFonts w:ascii="Consolas" w:hAnsi="Consolas"/>
      <w:noProof w:val="0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46417B"/>
    <w:rPr>
      <w:rFonts w:ascii="Consolas" w:hAnsi="Consolas"/>
      <w:noProof w:val="0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46417B"/>
    <w:rPr>
      <w:i/>
      <w:iCs/>
      <w:noProof w:val="0"/>
    </w:rPr>
  </w:style>
  <w:style w:type="paragraph" w:styleId="Index1">
    <w:name w:val="index 1"/>
    <w:basedOn w:val="Normal"/>
    <w:next w:val="Normal"/>
    <w:uiPriority w:val="99"/>
    <w:semiHidden/>
    <w:unhideWhenUsed/>
    <w:locked/>
    <w:rsid w:val="0046417B"/>
    <w:pPr>
      <w:spacing w:before="0" w:after="0"/>
      <w:ind w:left="200" w:hanging="200"/>
    </w:pPr>
  </w:style>
  <w:style w:type="paragraph" w:styleId="Index2">
    <w:name w:val="index 2"/>
    <w:basedOn w:val="Normal"/>
    <w:next w:val="Normal"/>
    <w:uiPriority w:val="99"/>
    <w:semiHidden/>
    <w:unhideWhenUsed/>
    <w:locked/>
    <w:rsid w:val="0046417B"/>
    <w:pPr>
      <w:spacing w:before="0" w:after="0"/>
      <w:ind w:left="400" w:hanging="200"/>
    </w:pPr>
  </w:style>
  <w:style w:type="paragraph" w:styleId="Index3">
    <w:name w:val="index 3"/>
    <w:basedOn w:val="Normal"/>
    <w:next w:val="Normal"/>
    <w:uiPriority w:val="99"/>
    <w:semiHidden/>
    <w:unhideWhenUsed/>
    <w:locked/>
    <w:rsid w:val="0046417B"/>
    <w:pPr>
      <w:spacing w:before="0" w:after="0"/>
      <w:ind w:left="600" w:hanging="200"/>
    </w:pPr>
  </w:style>
  <w:style w:type="paragraph" w:styleId="Index4">
    <w:name w:val="index 4"/>
    <w:basedOn w:val="Normal"/>
    <w:next w:val="Normal"/>
    <w:uiPriority w:val="99"/>
    <w:semiHidden/>
    <w:unhideWhenUsed/>
    <w:locked/>
    <w:rsid w:val="0046417B"/>
    <w:pPr>
      <w:spacing w:before="0" w:after="0"/>
      <w:ind w:left="800" w:hanging="200"/>
    </w:pPr>
  </w:style>
  <w:style w:type="paragraph" w:styleId="Index5">
    <w:name w:val="index 5"/>
    <w:basedOn w:val="Normal"/>
    <w:next w:val="Normal"/>
    <w:uiPriority w:val="99"/>
    <w:semiHidden/>
    <w:unhideWhenUsed/>
    <w:locked/>
    <w:rsid w:val="0046417B"/>
    <w:pPr>
      <w:spacing w:before="0" w:after="0"/>
      <w:ind w:left="1000" w:hanging="200"/>
    </w:pPr>
  </w:style>
  <w:style w:type="paragraph" w:styleId="Index6">
    <w:name w:val="index 6"/>
    <w:basedOn w:val="Normal"/>
    <w:next w:val="Normal"/>
    <w:uiPriority w:val="99"/>
    <w:semiHidden/>
    <w:unhideWhenUsed/>
    <w:locked/>
    <w:rsid w:val="0046417B"/>
    <w:pPr>
      <w:spacing w:before="0" w:after="0"/>
      <w:ind w:left="1200" w:hanging="200"/>
    </w:pPr>
  </w:style>
  <w:style w:type="paragraph" w:styleId="Index7">
    <w:name w:val="index 7"/>
    <w:basedOn w:val="Normal"/>
    <w:next w:val="Normal"/>
    <w:uiPriority w:val="99"/>
    <w:semiHidden/>
    <w:unhideWhenUsed/>
    <w:locked/>
    <w:rsid w:val="0046417B"/>
    <w:pPr>
      <w:spacing w:before="0" w:after="0"/>
      <w:ind w:left="1400" w:hanging="200"/>
    </w:pPr>
  </w:style>
  <w:style w:type="paragraph" w:styleId="Index8">
    <w:name w:val="index 8"/>
    <w:basedOn w:val="Normal"/>
    <w:next w:val="Normal"/>
    <w:uiPriority w:val="99"/>
    <w:semiHidden/>
    <w:unhideWhenUsed/>
    <w:locked/>
    <w:rsid w:val="0046417B"/>
    <w:pPr>
      <w:spacing w:before="0" w:after="0"/>
      <w:ind w:left="1600" w:hanging="200"/>
    </w:pPr>
  </w:style>
  <w:style w:type="paragraph" w:styleId="Index9">
    <w:name w:val="index 9"/>
    <w:basedOn w:val="Normal"/>
    <w:next w:val="Normal"/>
    <w:uiPriority w:val="99"/>
    <w:semiHidden/>
    <w:unhideWhenUsed/>
    <w:locked/>
    <w:rsid w:val="0046417B"/>
    <w:pPr>
      <w:spacing w:before="0" w:after="0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46417B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locked/>
    <w:rsid w:val="0046417B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locked/>
    <w:rsid w:val="0046417B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locked/>
    <w:rsid w:val="0046417B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locked/>
    <w:rsid w:val="0046417B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locked/>
    <w:rsid w:val="0046417B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locked/>
    <w:rsid w:val="0046417B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46417B"/>
    <w:rPr>
      <w:noProof w:val="0"/>
    </w:rPr>
  </w:style>
  <w:style w:type="paragraph" w:styleId="List">
    <w:name w:val="List"/>
    <w:basedOn w:val="Normal"/>
    <w:uiPriority w:val="99"/>
    <w:semiHidden/>
    <w:unhideWhenUsed/>
    <w:locked/>
    <w:rsid w:val="0046417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46417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46417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46417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46417B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46417B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46417B"/>
    <w:pPr>
      <w:tabs>
        <w:tab w:val="num" w:pos="643"/>
      </w:tabs>
      <w:ind w:left="643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46417B"/>
    <w:pPr>
      <w:tabs>
        <w:tab w:val="num" w:pos="926"/>
      </w:tabs>
      <w:ind w:left="926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46417B"/>
    <w:pPr>
      <w:tabs>
        <w:tab w:val="num" w:pos="1209"/>
      </w:tabs>
      <w:ind w:left="1209" w:hanging="360"/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46417B"/>
    <w:pPr>
      <w:tabs>
        <w:tab w:val="num" w:pos="1492"/>
      </w:tabs>
      <w:ind w:left="1492" w:hanging="360"/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46417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46417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46417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46417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46417B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46417B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46417B"/>
    <w:pPr>
      <w:tabs>
        <w:tab w:val="num" w:pos="643"/>
      </w:tabs>
      <w:ind w:left="643" w:hanging="360"/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46417B"/>
    <w:pPr>
      <w:tabs>
        <w:tab w:val="num" w:pos="926"/>
      </w:tabs>
      <w:ind w:left="926" w:hanging="360"/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46417B"/>
    <w:pPr>
      <w:tabs>
        <w:tab w:val="num" w:pos="1209"/>
      </w:tabs>
      <w:ind w:left="1209" w:hanging="360"/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46417B"/>
    <w:pPr>
      <w:tabs>
        <w:tab w:val="num" w:pos="1492"/>
      </w:tabs>
      <w:ind w:left="1492" w:hanging="360"/>
      <w:contextualSpacing/>
    </w:pPr>
  </w:style>
  <w:style w:type="table" w:styleId="ListTable1Light">
    <w:name w:val="List Table 1 Light"/>
    <w:basedOn w:val="TableNormal"/>
    <w:uiPriority w:val="46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locked/>
    <w:rsid w:val="0046417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locked/>
    <w:rsid w:val="0046417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locked/>
    <w:rsid w:val="0046417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locked/>
    <w:rsid w:val="0046417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locked/>
    <w:rsid w:val="0046417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locked/>
    <w:rsid w:val="0046417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locked/>
    <w:rsid w:val="0046417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locked/>
    <w:rsid w:val="0046417B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locked/>
    <w:rsid w:val="0046417B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locked/>
    <w:rsid w:val="0046417B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locked/>
    <w:rsid w:val="0046417B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locked/>
    <w:rsid w:val="0046417B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locked/>
    <w:rsid w:val="0046417B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locked/>
    <w:rsid w:val="0046417B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locked/>
    <w:rsid w:val="0046417B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locked/>
    <w:rsid w:val="0046417B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locked/>
    <w:rsid w:val="0046417B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locked/>
    <w:rsid w:val="0046417B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locked/>
    <w:rsid w:val="0046417B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locked/>
    <w:rsid w:val="0046417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after="0" w:line="240" w:lineRule="auto"/>
    </w:pPr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6417B"/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table" w:styleId="MediumGrid1">
    <w:name w:val="Medium Grid 1"/>
    <w:basedOn w:val="TableNormal"/>
    <w:uiPriority w:val="67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locked/>
    <w:rsid w:val="0046417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locked/>
    <w:rsid w:val="0046417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locked/>
    <w:rsid w:val="0046417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locked/>
    <w:rsid w:val="0046417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locked/>
    <w:rsid w:val="0046417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locked/>
    <w:rsid w:val="0046417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locked/>
    <w:rsid w:val="0046417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locked/>
    <w:rsid w:val="0046417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locked/>
    <w:rsid w:val="0046417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locked/>
    <w:rsid w:val="0046417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locked/>
    <w:rsid w:val="0046417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locked/>
    <w:rsid w:val="0046417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locked/>
    <w:rsid w:val="0046417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locked/>
    <w:rsid w:val="0046417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locked/>
    <w:rsid w:val="0046417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locked/>
    <w:rsid w:val="0046417B"/>
    <w:rPr>
      <w:noProof w:val="0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46417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6417B"/>
    <w:rPr>
      <w:rFonts w:asciiTheme="majorHAnsi" w:eastAsiaTheme="majorEastAsia" w:hAnsiTheme="majorHAnsi" w:cstheme="majorBidi"/>
      <w:color w:val="000000" w:themeColor="text1"/>
      <w:kern w:val="0"/>
      <w:shd w:val="pct20" w:color="auto" w:fill="auto"/>
      <w14:ligatures w14:val="none"/>
    </w:rPr>
  </w:style>
  <w:style w:type="paragraph" w:styleId="NoSpacing">
    <w:name w:val="No Spacing"/>
    <w:uiPriority w:val="1"/>
    <w:locked/>
    <w:rsid w:val="0046417B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locked/>
    <w:rsid w:val="0046417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locked/>
    <w:rsid w:val="0046417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46417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6417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PlainTable1">
    <w:name w:val="Plain Table 1"/>
    <w:basedOn w:val="TableNormal"/>
    <w:uiPriority w:val="9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46417B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6417B"/>
    <w:rPr>
      <w:rFonts w:ascii="Consolas" w:hAnsi="Consolas" w:cs="Poppins Light"/>
      <w:color w:val="000000" w:themeColor="text1"/>
      <w:kern w:val="0"/>
      <w:sz w:val="21"/>
      <w:szCs w:val="21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46417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6417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46417B"/>
    <w:pPr>
      <w:spacing w:before="0"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6417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SmartHyperlink">
    <w:name w:val="Smart Hyperlink"/>
    <w:basedOn w:val="DefaultParagraphFont"/>
    <w:uiPriority w:val="99"/>
    <w:semiHidden/>
    <w:unhideWhenUsed/>
    <w:locked/>
    <w:rsid w:val="0046417B"/>
    <w:rPr>
      <w:noProof w:val="0"/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46417B"/>
    <w:rPr>
      <w:noProof w:val="0"/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locked/>
    <w:rsid w:val="0046417B"/>
    <w:rPr>
      <w:b/>
      <w:bCs/>
      <w:noProof w:val="0"/>
    </w:rPr>
  </w:style>
  <w:style w:type="character" w:styleId="SubtleEmphasis">
    <w:name w:val="Subtle Emphasis"/>
    <w:basedOn w:val="DefaultParagraphFont"/>
    <w:uiPriority w:val="19"/>
    <w:locked/>
    <w:rsid w:val="0046417B"/>
    <w:rPr>
      <w:i/>
      <w:iCs/>
      <w:noProof w:val="0"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locked/>
    <w:rsid w:val="0046417B"/>
    <w:rPr>
      <w:smallCaps/>
      <w:noProof w:val="0"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color w:val="000080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color w:val="FFFFFF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locked/>
    <w:rsid w:val="0046417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46417B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46417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46417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46417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unhideWhenUsed/>
    <w:locked/>
    <w:rsid w:val="0046417B"/>
  </w:style>
  <w:style w:type="paragraph" w:styleId="TOC2">
    <w:name w:val="toc 2"/>
    <w:basedOn w:val="Normal"/>
    <w:next w:val="Normal"/>
    <w:uiPriority w:val="39"/>
    <w:semiHidden/>
    <w:unhideWhenUsed/>
    <w:locked/>
    <w:rsid w:val="0046417B"/>
    <w:pPr>
      <w:ind w:left="200"/>
    </w:pPr>
  </w:style>
  <w:style w:type="paragraph" w:styleId="TOC3">
    <w:name w:val="toc 3"/>
    <w:basedOn w:val="Normal"/>
    <w:next w:val="Normal"/>
    <w:uiPriority w:val="39"/>
    <w:semiHidden/>
    <w:unhideWhenUsed/>
    <w:locked/>
    <w:rsid w:val="0046417B"/>
    <w:pPr>
      <w:ind w:left="400"/>
    </w:pPr>
  </w:style>
  <w:style w:type="paragraph" w:styleId="TOC4">
    <w:name w:val="toc 4"/>
    <w:basedOn w:val="Normal"/>
    <w:next w:val="Normal"/>
    <w:uiPriority w:val="39"/>
    <w:semiHidden/>
    <w:unhideWhenUsed/>
    <w:locked/>
    <w:rsid w:val="0046417B"/>
    <w:pPr>
      <w:ind w:left="600"/>
    </w:pPr>
  </w:style>
  <w:style w:type="paragraph" w:styleId="TOC5">
    <w:name w:val="toc 5"/>
    <w:basedOn w:val="Normal"/>
    <w:next w:val="Normal"/>
    <w:uiPriority w:val="39"/>
    <w:semiHidden/>
    <w:unhideWhenUsed/>
    <w:locked/>
    <w:rsid w:val="0046417B"/>
    <w:pPr>
      <w:ind w:left="800"/>
    </w:pPr>
  </w:style>
  <w:style w:type="paragraph" w:styleId="TOC6">
    <w:name w:val="toc 6"/>
    <w:basedOn w:val="Normal"/>
    <w:next w:val="Normal"/>
    <w:uiPriority w:val="39"/>
    <w:semiHidden/>
    <w:unhideWhenUsed/>
    <w:locked/>
    <w:rsid w:val="0046417B"/>
    <w:pPr>
      <w:ind w:left="1000"/>
    </w:pPr>
  </w:style>
  <w:style w:type="paragraph" w:styleId="TOC7">
    <w:name w:val="toc 7"/>
    <w:basedOn w:val="Normal"/>
    <w:next w:val="Normal"/>
    <w:uiPriority w:val="39"/>
    <w:semiHidden/>
    <w:unhideWhenUsed/>
    <w:locked/>
    <w:rsid w:val="0046417B"/>
    <w:pPr>
      <w:ind w:left="1200"/>
    </w:pPr>
  </w:style>
  <w:style w:type="paragraph" w:styleId="TOC8">
    <w:name w:val="toc 8"/>
    <w:basedOn w:val="Normal"/>
    <w:next w:val="Normal"/>
    <w:uiPriority w:val="39"/>
    <w:semiHidden/>
    <w:unhideWhenUsed/>
    <w:locked/>
    <w:rsid w:val="0046417B"/>
    <w:pPr>
      <w:ind w:left="1400"/>
    </w:pPr>
  </w:style>
  <w:style w:type="paragraph" w:styleId="TOC9">
    <w:name w:val="toc 9"/>
    <w:basedOn w:val="Normal"/>
    <w:next w:val="Normal"/>
    <w:uiPriority w:val="39"/>
    <w:semiHidden/>
    <w:unhideWhenUsed/>
    <w:locked/>
    <w:rsid w:val="0046417B"/>
    <w:pPr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46417B"/>
    <w:pPr>
      <w:spacing w:before="240" w:after="0" w:line="240" w:lineRule="auto"/>
      <w:outlineLvl w:val="9"/>
    </w:pPr>
    <w:rPr>
      <w:rFonts w:asciiTheme="majorHAnsi" w:hAnsiTheme="majorHAnsi"/>
      <w:b/>
      <w:color w:val="0F476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46417B"/>
    <w:rPr>
      <w:noProof w:val="0"/>
      <w:color w:val="605E5C"/>
      <w:shd w:val="clear" w:color="auto" w:fill="E1DFDD"/>
    </w:rPr>
  </w:style>
  <w:style w:type="paragraph" w:customStyle="1" w:styleId="RepeatingHeader">
    <w:name w:val="Repeating Header"/>
    <w:link w:val="RepeatingHeaderChar"/>
    <w:qFormat/>
    <w:locked/>
    <w:rsid w:val="0046417B"/>
    <w:pPr>
      <w:spacing w:before="240" w:after="0" w:line="240" w:lineRule="auto"/>
      <w:contextualSpacing/>
    </w:pPr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character" w:customStyle="1" w:styleId="RepeatingHeaderChar">
    <w:name w:val="Repeating Header Char"/>
    <w:basedOn w:val="DefaultParagraphFont"/>
    <w:link w:val="RepeatingHeader"/>
    <w:rsid w:val="0046417B"/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paragraph" w:customStyle="1" w:styleId="BodyBulletIndent">
    <w:name w:val="Body Bullet Indent"/>
    <w:basedOn w:val="Normal"/>
    <w:link w:val="BodyBulletIndentChar"/>
    <w:qFormat/>
    <w:locked/>
    <w:rsid w:val="0046417B"/>
    <w:pPr>
      <w:spacing w:before="0" w:line="220" w:lineRule="exact"/>
      <w:ind w:left="284"/>
    </w:pPr>
  </w:style>
  <w:style w:type="character" w:customStyle="1" w:styleId="BodyBulletIndentChar">
    <w:name w:val="Body Bullet Indent Char"/>
    <w:basedOn w:val="DefaultParagraphFont"/>
    <w:link w:val="BodyBulletIndent"/>
    <w:rsid w:val="0046417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customStyle="1" w:styleId="Chart">
    <w:name w:val="Chart"/>
    <w:link w:val="ChartChar"/>
    <w:qFormat/>
    <w:locked/>
    <w:rsid w:val="0046417B"/>
    <w:pPr>
      <w:spacing w:before="120" w:after="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customStyle="1" w:styleId="ChartChar">
    <w:name w:val="Chart Char"/>
    <w:basedOn w:val="DefaultParagraphFont"/>
    <w:link w:val="Chart"/>
    <w:rsid w:val="0046417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y.oxfordeconomics.com/reportaction/f15f4c4-41ba-4a58-9233/To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my.oxfordeconomics.com/reportaction/4F04896c2614416aa71BCc/Toc" TargetMode="Externa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B9EE2-9407-4AE5-A9AE-EA2E633E7B51}"/>
      </w:docPartPr>
      <w:docPartBody>
        <w:p w:rsidR="005D1FA6" w:rsidRDefault="005D1FA6">
          <w:r w:rsidRPr="004802AC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A6"/>
    <w:rsid w:val="003265E5"/>
    <w:rsid w:val="005D1FA6"/>
    <w:rsid w:val="00960C1A"/>
    <w:rsid w:val="009B254A"/>
    <w:rsid w:val="00D9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1FA6"/>
    <w:rPr>
      <w:noProof w:val="0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Andrew Goodwin</cp:lastModifiedBy>
  <cp:revision>9</cp:revision>
  <cp:lastPrinted>2026-04-30T14:38:00Z</cp:lastPrinted>
  <dcterms:created xsi:type="dcterms:W3CDTF">2026-04-30T14:28:00Z</dcterms:created>
  <dcterms:modified xsi:type="dcterms:W3CDTF">2026-04-30T14:46:00Z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1f5784-19ed-4d1e-9a93-4ea41014d730_Enabled">
    <vt:lpwstr>true</vt:lpwstr>
  </property>
  <property fmtid="{D5CDD505-2E9C-101B-9397-08002B2CF9AE}" pid="3" name="MSIP_Label_231f5784-19ed-4d1e-9a93-4ea41014d730_SetDate">
    <vt:lpwstr>2026-04-30T10:07:20.680Z</vt:lpwstr>
  </property>
  <property fmtid="{D5CDD505-2E9C-101B-9397-08002B2CF9AE}" pid="4" name="MSIP_Label_231f5784-19ed-4d1e-9a93-4ea41014d730_Method">
    <vt:lpwstr>Privileged</vt:lpwstr>
  </property>
  <property fmtid="{D5CDD505-2E9C-101B-9397-08002B2CF9AE}" pid="5" name="MSIP_Label_231f5784-19ed-4d1e-9a93-4ea41014d730_Name">
    <vt:lpwstr>External</vt:lpwstr>
  </property>
  <property fmtid="{D5CDD505-2E9C-101B-9397-08002B2CF9AE}" pid="6" name="MSIP_Label_231f5784-19ed-4d1e-9a93-4ea41014d730_SiteId">
    <vt:lpwstr>2c277f63-6743-4f98-ac15-4851e55c0cc7</vt:lpwstr>
  </property>
  <property fmtid="{D5CDD505-2E9C-101B-9397-08002B2CF9AE}" pid="7" name="OEP_VERSION">
    <vt:lpwstr>0.0.3.5</vt:lpwstr>
  </property>
  <property fmtid="{D5CDD505-2E9C-101B-9397-08002B2CF9AE}" pid="8" name="OEP_TEMPLATE_STYLES">
    <vt:lpwstr>0.0.0.1</vt:lpwstr>
  </property>
  <property fmtid="{D5CDD505-2E9C-101B-9397-08002B2CF9AE}" pid="9" name="OEP_ANALYST_FULLNAME">
    <vt:lpwstr>Andrew Goodwin</vt:lpwstr>
  </property>
  <property fmtid="{D5CDD505-2E9C-101B-9397-08002B2CF9AE}" pid="10" name="OEP_ANALYST_JOBTITLE">
    <vt:lpwstr>Chief UK Economist</vt:lpwstr>
  </property>
  <property fmtid="{D5CDD505-2E9C-101B-9397-08002B2CF9AE}" pid="11" name="OEP_ANALYST_EMAIL">
    <vt:lpwstr>agoodwin@oxfordeconomics.com</vt:lpwstr>
  </property>
  <property fmtid="{D5CDD505-2E9C-101B-9397-08002B2CF9AE}" pid="12" name="OEP_CATEGORIES">
    <vt:lpwstr>AnalysisbyRegion-Europe-UnitedKingdom, Macro-ResearchBriefings-UnitedKingdom</vt:lpwstr>
  </property>
  <property fmtid="{D5CDD505-2E9C-101B-9397-08002B2CF9AE}" pid="13" name="OEP_KEY_THEMES">
    <vt:lpwstr>interest rates, monetary policy</vt:lpwstr>
  </property>
  <property fmtid="{D5CDD505-2E9C-101B-9397-08002B2CF9AE}" pid="14" name="OEP_TAGS">
    <vt:lpwstr>Key Themes:interest rates, monetary policy</vt:lpwstr>
  </property>
  <property fmtid="{D5CDD505-2E9C-101B-9397-08002B2CF9AE}" pid="15" name="OEP_CHART 1">
    <vt:lpwstr>Z:\UK Team\UK Research Briefing\20260430 RB UK MPC reaction.xlsx,Chart1</vt:lpwstr>
  </property>
  <property fmtid="{D5CDD505-2E9C-101B-9397-08002B2CF9AE}" pid="16" name="OEP_PRODUCT_TYPE">
    <vt:lpwstr>Briefing</vt:lpwstr>
  </property>
  <property fmtid="{D5CDD505-2E9C-101B-9397-08002B2CF9AE}" pid="17" name="OEP_PRODUCT_CODE">
    <vt:lpwstr>83fc823-9b19-49ee-9241</vt:lpwstr>
  </property>
</Properties>
</file>