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05DAC">
      <w:pPr>
        <w:numPr>
          <w:ilvl w:val="0"/>
          <w:numId w:val="1"/>
        </w:numPr>
        <w:jc w:val="center"/>
        <w:rPr>
          <w:rFonts w:hint="eastAsia" w:ascii="黑体" w:hAnsi="黑体" w:eastAsia="黑体" w:cs="黑体"/>
          <w:sz w:val="36"/>
          <w:szCs w:val="36"/>
          <w:lang w:val="en-US" w:eastAsia="zh-CN"/>
        </w:rPr>
      </w:pPr>
      <w:r>
        <w:rPr>
          <w:rFonts w:hint="eastAsia" w:ascii="黑体" w:hAnsi="黑体" w:eastAsia="黑体" w:cs="黑体"/>
          <w:sz w:val="36"/>
          <w:szCs w:val="36"/>
          <w:lang w:val="en-US" w:eastAsia="zh-CN"/>
        </w:rPr>
        <w:t>作品难点与创新</w:t>
      </w:r>
    </w:p>
    <w:p w14:paraId="55D79587">
      <w:pPr>
        <w:widowControl w:val="0"/>
        <w:numPr>
          <w:ilvl w:val="1"/>
          <w:numId w:val="2"/>
        </w:numPr>
        <w:jc w:val="both"/>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作品难点</w:t>
      </w:r>
    </w:p>
    <w:p w14:paraId="20CFFB02">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本项目面向工业安全生产监控场景，构建了一套“边缘检测 + 中枢智能 + 数字孪生”三层架构的智能安全管理系统。在系统设计与实现过程中，面临以下关键技术难点：</w:t>
      </w:r>
    </w:p>
    <w:p w14:paraId="2BF81AE9">
      <w:pPr>
        <w:widowControl w:val="0"/>
        <w:numPr>
          <w:ilvl w:val="0"/>
          <w:numId w:val="3"/>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边缘端资源受限下的实时检测</w:t>
      </w:r>
    </w:p>
    <w:p w14:paraId="442B7614">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边缘端采用海康超脑盒子（ARM64架构，双NPU）运行YOLO模型进行实时检测。受限于嵌入式平台的算力与内存资源，需在保证检测精度的前提下，将推理延迟控制在200ms级别。同时，边缘端需处理多路RTSP视频流、目标跟踪、报警元数据生成与图片上传等任务，对多任务并发调度能力提出较高要求。</w:t>
      </w:r>
    </w:p>
    <w:p w14:paraId="05AC6CF5">
      <w:pPr>
        <w:widowControl w:val="0"/>
        <w:numPr>
          <w:ilvl w:val="0"/>
          <w:numId w:val="3"/>
        </w:numPr>
        <w:ind w:left="0"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多模态异构数据的融合与认知</w:t>
      </w:r>
    </w:p>
    <w:p w14:paraId="5159B863">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需融合边缘端输出的结构化检测数据（目标类型、位置、置信度等）与非结构化的监控图像，构建从“检测”到“认知”的智能链路。如何将视觉信息与大模型语义理解能力有效结合，实现对复杂场景（如局部遮挡、多人交互）的准确判断，是一个典型的多模态融合难题。</w:t>
      </w:r>
    </w:p>
    <w:p w14:paraId="4DFEA50A">
      <w:pPr>
        <w:widowControl w:val="0"/>
        <w:numPr>
          <w:ilvl w:val="0"/>
          <w:numId w:val="3"/>
        </w:numPr>
        <w:ind w:left="0"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动态场景下的数字孪生建模与实时映射</w:t>
      </w:r>
    </w:p>
    <w:p w14:paraId="0462F08B">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实现3D数字孪生大屏对真实工厂环境的实时同步，系统需将二维监控图像中检测到的目标（如工人、车辆）动态映射到三维物理空间。这要求解决像素坐标到世界坐标的精确转换、多目标生命周期管理（出现、移动、消失）、以及孪生体与背景模型的空间一致性等问题。</w:t>
      </w:r>
    </w:p>
    <w:p w14:paraId="7D4ABC53">
      <w:pPr>
        <w:widowControl w:val="0"/>
        <w:numPr>
          <w:ilvl w:val="0"/>
          <w:numId w:val="3"/>
        </w:numPr>
        <w:ind w:left="0"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人机协同下的实时性与可信性平衡</w:t>
      </w:r>
    </w:p>
    <w:p w14:paraId="7078A913">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支持A级高危事件的人机协同审批（Human-in-the-Loop），要求在毫秒级响应与人工干预之间取得平衡。如何设计审批卡片的UI/UX交互、保证拦截命令的可靠执行、并通过钉钉/企微等多渠道进行跨端告警，同时不中断系统整体运行，是一个系统集成级的难点。</w:t>
      </w:r>
    </w:p>
    <w:p w14:paraId="29E0F364">
      <w:pPr>
        <w:widowControl w:val="0"/>
        <w:numPr>
          <w:ilvl w:val="1"/>
          <w:numId w:val="2"/>
        </w:numPr>
        <w:ind w:left="0" w:leftChars="0" w:firstLine="0" w:firstLineChars="0"/>
        <w:jc w:val="both"/>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作品创新</w:t>
      </w:r>
    </w:p>
    <w:p w14:paraId="35257B3A">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针对上述难点，本项目在系统架构、算法设计、交互体验等方面提出了多项创新：</w:t>
      </w:r>
    </w:p>
    <w:p w14:paraId="79B06780">
      <w:pPr>
        <w:widowControl w:val="0"/>
        <w:numPr>
          <w:ilvl w:val="0"/>
          <w:numId w:val="4"/>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分层解耦的多智能体协同架构</w:t>
      </w:r>
    </w:p>
    <w:p w14:paraId="63FCB26F">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创新性地构建了“感知–认知–决策”三层分离的Multi-Agent架构。感知Agent负责边缘数据解析与标准化，安全Agent融合LLM多模态分析与历史记忆，调度Agent驱动规则引擎与工具调用。三层职责清晰、数据标准化（AlarmEvent），实现了高内聚低耦合，提升了系统的可扩展性与可维护性。</w:t>
      </w:r>
    </w:p>
    <w:p w14:paraId="44C69FD0">
      <w:pPr>
        <w:widowControl w:val="0"/>
        <w:numPr>
          <w:ilvl w:val="0"/>
          <w:numId w:val="4"/>
        </w:numPr>
        <w:ind w:left="0"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空间网络化记忆与动态升级机制</w:t>
      </w:r>
    </w:p>
    <w:p w14:paraId="50A1CBFE">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设计了基于空间网格化（200×200像素网格）与时间窗口（60分钟）的记忆模块，能够自动识别同区域高频违规行为，并实现B级→A级的自动升级。该机制使系统具备短期记忆与上下文感知能力，有效降低了误报率，提升了高危事件的响应优先级。</w:t>
      </w:r>
    </w:p>
    <w:p w14:paraId="6ECF7543">
      <w:pPr>
        <w:widowControl w:val="0"/>
        <w:numPr>
          <w:ilvl w:val="0"/>
          <w:numId w:val="4"/>
        </w:numPr>
        <w:ind w:left="0"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端边云协同的闭环智能链路</w:t>
      </w:r>
    </w:p>
    <w:p w14:paraId="243AAEDA">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系统打通了从边缘检测（YOLO）→中枢智能（Qwen2.5-VL + Agent管线）→孪生展示（Three.js）→跨端告警（钉钉/企微）的全链路闭环。通过HTTP + WebSocket双通道通信，实现了毫秒级报警上屏与LLM分析结果的实时广播，具备“检测–认知–决策–执行–展示”的完整智能闭环能力。</w:t>
      </w:r>
    </w:p>
    <w:p w14:paraId="672D91CE">
      <w:pPr>
        <w:widowControl w:val="0"/>
        <w:numPr>
          <w:ilvl w:val="0"/>
          <w:numId w:val="4"/>
        </w:numPr>
        <w:ind w:left="0"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沉浸式数字孪生与Bloom全息渲染</w:t>
      </w:r>
    </w:p>
    <w:p w14:paraId="145800C4">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端基于Three.js构建了全息赛博风格的数字孪生工厂，创新性地引入UnrealBloomPass后期特效，实现线框模型的蓝色霓虹光晕与违规工人的红色警告光晕叠加。同时，系统实现了像素→3D物理坐标映射、CSS2D悬浮标签、Tween.js电影级镜头自动聚焦等特性，显著提升了态势感知的沉浸感与信息密度。</w:t>
      </w:r>
    </w:p>
    <w:p w14:paraId="628C0550">
      <w:pPr>
        <w:widowControl w:val="0"/>
        <w:numPr>
          <w:ilvl w:val="0"/>
          <w:numId w:val="4"/>
        </w:numPr>
        <w:ind w:left="0"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自主工具调用与规则驱动的智能决策</w:t>
      </w:r>
    </w:p>
    <w:p w14:paraId="54DA55CC">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度Agent内置规则引擎，支持根据事件等级（A/B/C）动态选择工具组合（数据库、通知、报告、人机协同）。例如A级事件自动触发拦截+紧急推送+报告生成，B级事件则仅推送+日志。该设计实现了轻量化、可解释的自主决策，避免了对大模型的过度依赖，提升了系统在边缘环境下的稳定性。</w:t>
      </w:r>
    </w:p>
    <w:p w14:paraId="7CB5C04C">
      <w:pPr>
        <w:widowControl w:val="0"/>
        <w:numPr>
          <w:ilvl w:val="0"/>
          <w:numId w:val="4"/>
        </w:numPr>
        <w:ind w:left="0"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本地化LLM部署与数据安全闭环</w:t>
      </w:r>
    </w:p>
    <w:p w14:paraId="4D70BC14">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系统采用Qwen2.5-VL 7B多模态大模型本地部署（Ollama框架），所有监控图像与结构化数据均在内网完成推理，无需上传云端。既满足了工业场景对数据隐私与低延迟的要求，又实现了离线可用性，契合可信AI与数据安全的发展趋势。</w:t>
      </w:r>
    </w:p>
    <w:p w14:paraId="7B22F1BB">
      <w:pPr>
        <w:rPr>
          <w:rFonts w:hint="eastAsia" w:ascii="黑体" w:hAnsi="黑体" w:eastAsia="黑体" w:cs="黑体"/>
          <w:lang w:val="en-US" w:eastAsia="zh-CN"/>
        </w:rPr>
      </w:pPr>
      <w:r>
        <w:rPr>
          <w:rFonts w:hint="eastAsia" w:ascii="黑体" w:hAnsi="黑体" w:eastAsia="黑体" w:cs="黑体"/>
          <w:lang w:val="en-US" w:eastAsia="zh-CN"/>
        </w:rPr>
        <w:br w:type="page"/>
      </w:r>
    </w:p>
    <w:p w14:paraId="1A171A0A">
      <w:pPr>
        <w:spacing w:before="0" w:after="0" w:line="276" w:lineRule="auto"/>
        <w:ind w:firstLine="0"/>
        <w:jc w:val="center"/>
      </w:pPr>
      <w:r>
        <w:rPr>
          <w:rFonts w:hint="eastAsia" w:ascii="黑体" w:hAnsi="黑体" w:eastAsia="黑体" w:cs="黑体"/>
          <w:b w:val="0"/>
          <w:sz w:val="36"/>
          <w:lang w:val="en-US" w:eastAsia="zh-CN"/>
        </w:rPr>
        <w:t xml:space="preserve">第2章 </w:t>
      </w:r>
      <w:r>
        <w:rPr>
          <w:rFonts w:ascii="黑体" w:hAnsi="黑体" w:eastAsia="黑体" w:cs="黑体"/>
          <w:b w:val="0"/>
          <w:sz w:val="36"/>
        </w:rPr>
        <w:t>方案论证与设计</w:t>
      </w:r>
    </w:p>
    <w:p w14:paraId="513B4D4C">
      <w:pPr>
        <w:spacing w:before="0" w:after="0" w:line="276" w:lineRule="auto"/>
        <w:ind w:firstLine="0"/>
        <w:jc w:val="both"/>
      </w:pPr>
      <w:r>
        <w:rPr>
          <w:rFonts w:ascii="黑体" w:hAnsi="黑体" w:eastAsia="黑体" w:cs="黑体"/>
          <w:b w:val="0"/>
          <w:sz w:val="30"/>
        </w:rPr>
        <w:t>2.1 设计目标与要求</w:t>
      </w:r>
    </w:p>
    <w:p w14:paraId="468AEB48">
      <w:pPr>
        <w:spacing w:before="0" w:after="0" w:line="276" w:lineRule="auto"/>
        <w:ind w:firstLine="420"/>
        <w:jc w:val="both"/>
      </w:pPr>
      <w:r>
        <w:rPr>
          <w:rFonts w:ascii="宋体" w:hAnsi="宋体" w:eastAsia="宋体" w:cs="宋体"/>
          <w:b w:val="0"/>
          <w:sz w:val="24"/>
        </w:rPr>
        <w:t>本系统面向工厂安全生产监控场景，旨在解决传统监控系统"只录不管、事后追溯"的痛点，构建一套具备实时监测、智能认知、自主决策与沉浸式展示能力的闭环系统。具体设计目标如下：（1）实时性——边缘端检测延迟≤200ms，中枢端从报警接收到LLM分析完成总耗时≤5s；（2）准确性——对安全帽、反光背心、火焰等6类目标的检测精度≥85%，违规判定误报率≤10%；（3）智能型——支持自然语言场景理解、历史记忆检索、多级自主决策与人机协同；（4）离线可用——大模型与全部服务本地化部署，不依赖公网云端；（5）沉浸展示——3D数字孪生大屏实时映射工厂状态，支持Bloom特效、镜头动画与跨端告警。</w:t>
      </w:r>
    </w:p>
    <w:p w14:paraId="0A4D68C1">
      <w:pPr>
        <w:spacing w:before="0" w:after="0" w:line="276" w:lineRule="auto"/>
        <w:ind w:firstLine="0"/>
        <w:jc w:val="both"/>
      </w:pPr>
      <w:r>
        <w:rPr>
          <w:rFonts w:ascii="黑体" w:hAnsi="黑体" w:eastAsia="黑体" w:cs="黑体"/>
          <w:b w:val="0"/>
          <w:sz w:val="30"/>
        </w:rPr>
        <w:t>2.2 总体方案与架构设计</w:t>
      </w:r>
    </w:p>
    <w:p w14:paraId="6E1281F0">
      <w:pPr>
        <w:spacing w:before="0" w:after="0" w:line="276" w:lineRule="auto"/>
        <w:ind w:firstLine="420"/>
        <w:jc w:val="both"/>
      </w:pPr>
      <w:r>
        <w:rPr>
          <w:rFonts w:ascii="宋体" w:hAnsi="宋体" w:eastAsia="宋体" w:cs="宋体"/>
          <w:b w:val="0"/>
          <w:sz w:val="24"/>
        </w:rPr>
        <w:t>系统采用"边缘端+中枢端+展示端"三层物理拓扑。边缘端为海康超脑盒子（ARM64，双NPU），连接摄像头RTSP流运行YOLO实时检测，输出报警元数据与截图；中枢端为Windows PC（RTX 3080 Ti 12GB），运行多智能体管线与Qwen2.5-VL 7B本地多模态大模型；展示端基于Three.js构建全息数字孪生3D大屏，同时支持钉钉/企微移动端告警推送。层间通信采用HTTP+WebSocket双通道：边缘→中枢通过HTTP POST multipart/form-data传输报警JSON元数据与JPEG截图；中枢→展示通过WebSocket（端口5001）实时推送事件与LLM分析结果。</w:t>
      </w:r>
    </w:p>
    <w:p w14:paraId="7A833ED2">
      <w:pPr>
        <w:spacing w:before="0" w:after="0" w:line="276" w:lineRule="auto"/>
        <w:ind w:firstLine="420"/>
        <w:jc w:val="both"/>
      </w:pPr>
      <w:r>
        <w:rPr>
          <w:rFonts w:ascii="宋体" w:hAnsi="宋体" w:eastAsia="宋体" w:cs="宋体"/>
          <w:b w:val="0"/>
          <w:sz w:val="24"/>
        </w:rPr>
        <w:t>软件划分为四层：边缘感知层（RTSP采集→YOLO推理→目标跟踪→报警触发→HTTP上报）、中枢智能层（感知Agent解析标准化→安全Agent记忆检索+LLM分析→调度Agent规则引擎+工具调用）、数据存储层（SQLite存储报警历史与工单记录，文件系统存储截图与报告）、展示交互层（Three.js 3D渲染、CSS2D标签、Bloom后期、Tween镜头控制、人机协同审批UI）。层间通过AlarmEvent标准化数据类单向传递，包含时间戳、违规事件列表、图像二进制、LLM分析文本与调度动作列表等字段，实现高内聚低耦合。</w:t>
      </w:r>
    </w:p>
    <w:p w14:paraId="19A55195">
      <w:pPr>
        <w:spacing w:before="0" w:after="0" w:line="276" w:lineRule="auto"/>
        <w:ind w:firstLine="0"/>
        <w:jc w:val="both"/>
      </w:pPr>
      <w:r>
        <w:rPr>
          <w:rFonts w:ascii="黑体" w:hAnsi="黑体" w:eastAsia="黑体" w:cs="黑体"/>
          <w:b w:val="0"/>
          <w:sz w:val="30"/>
        </w:rPr>
        <w:t>2.3 边缘检测方案论证</w:t>
      </w:r>
    </w:p>
    <w:p w14:paraId="69041AEE">
      <w:pPr>
        <w:spacing w:before="0" w:after="0" w:line="276" w:lineRule="auto"/>
        <w:ind w:firstLine="420"/>
        <w:jc w:val="both"/>
      </w:pPr>
      <w:r>
        <w:rPr>
          <w:rFonts w:ascii="宋体" w:hAnsi="宋体" w:eastAsia="宋体" w:cs="宋体"/>
          <w:b w:val="0"/>
          <w:sz w:val="24"/>
        </w:rPr>
        <w:t>硬件选型上，选用海康超脑盒子（ARM64+双NPU，算力1.0 TOPS），支持HIKStream 9插件链式处理管线（datasource</w:t>
      </w:r>
      <w:r>
        <w:rPr>
          <w:rFonts w:hint="eastAsia" w:ascii="宋体" w:hAnsi="宋体" w:eastAsia="宋体" w:cs="宋体"/>
          <w:b w:val="0"/>
          <w:sz w:val="24"/>
          <w:lang w:val="en-US" w:eastAsia="zh-CN"/>
        </w:rPr>
        <w:t xml:space="preserve"> </w:t>
      </w:r>
      <w:r>
        <w:rPr>
          <w:rFonts w:ascii="宋体" w:hAnsi="宋体" w:eastAsia="宋体" w:cs="宋体"/>
          <w:b w:val="0"/>
          <w:sz w:val="24"/>
        </w:rPr>
        <w:t>→</w:t>
      </w:r>
      <w:r>
        <w:rPr>
          <w:rFonts w:hint="eastAsia" w:ascii="宋体" w:hAnsi="宋体" w:eastAsia="宋体" w:cs="宋体"/>
          <w:b w:val="0"/>
          <w:sz w:val="24"/>
          <w:lang w:val="en-US" w:eastAsia="zh-CN"/>
        </w:rPr>
        <w:t xml:space="preserve"> </w:t>
      </w:r>
      <w:r>
        <w:rPr>
          <w:rFonts w:ascii="宋体" w:hAnsi="宋体" w:eastAsia="宋体" w:cs="宋体"/>
          <w:b w:val="0"/>
          <w:sz w:val="24"/>
        </w:rPr>
        <w:t>decode</w:t>
      </w:r>
      <w:r>
        <w:rPr>
          <w:rFonts w:hint="eastAsia" w:ascii="宋体" w:hAnsi="宋体" w:eastAsia="宋体" w:cs="宋体"/>
          <w:b w:val="0"/>
          <w:sz w:val="24"/>
          <w:lang w:val="en-US" w:eastAsia="zh-CN"/>
        </w:rPr>
        <w:t xml:space="preserve"> </w:t>
      </w:r>
      <w:r>
        <w:rPr>
          <w:rFonts w:ascii="宋体" w:hAnsi="宋体" w:eastAsia="宋体" w:cs="宋体"/>
          <w:b w:val="0"/>
          <w:sz w:val="24"/>
        </w:rPr>
        <w:t>→</w:t>
      </w:r>
      <w:r>
        <w:rPr>
          <w:rFonts w:hint="eastAsia" w:ascii="宋体" w:hAnsi="宋体" w:eastAsia="宋体" w:cs="宋体"/>
          <w:b w:val="0"/>
          <w:sz w:val="24"/>
          <w:lang w:val="en-US" w:eastAsia="zh-CN"/>
        </w:rPr>
        <w:t xml:space="preserve"> </w:t>
      </w:r>
      <w:r>
        <w:rPr>
          <w:rFonts w:ascii="宋体" w:hAnsi="宋体" w:eastAsia="宋体" w:cs="宋体"/>
          <w:b w:val="0"/>
          <w:sz w:val="24"/>
        </w:rPr>
        <w:t>infer</w:t>
      </w:r>
      <w:r>
        <w:rPr>
          <w:rFonts w:hint="eastAsia" w:ascii="宋体" w:hAnsi="宋体" w:eastAsia="宋体" w:cs="宋体"/>
          <w:b w:val="0"/>
          <w:sz w:val="24"/>
          <w:lang w:val="en-US" w:eastAsia="zh-CN"/>
        </w:rPr>
        <w:t xml:space="preserve"> </w:t>
      </w:r>
      <w:r>
        <w:rPr>
          <w:rFonts w:ascii="宋体" w:hAnsi="宋体" w:eastAsia="宋体" w:cs="宋体"/>
          <w:b w:val="0"/>
          <w:sz w:val="24"/>
        </w:rPr>
        <w:t>→</w:t>
      </w:r>
      <w:r>
        <w:rPr>
          <w:rFonts w:hint="eastAsia" w:ascii="宋体" w:hAnsi="宋体" w:eastAsia="宋体" w:cs="宋体"/>
          <w:b w:val="0"/>
          <w:sz w:val="24"/>
          <w:lang w:val="en-US" w:eastAsia="zh-CN"/>
        </w:rPr>
        <w:t xml:space="preserve"> </w:t>
      </w:r>
      <w:r>
        <w:rPr>
          <w:rFonts w:ascii="宋体" w:hAnsi="宋体" w:eastAsia="宋体" w:cs="宋体"/>
          <w:b w:val="0"/>
          <w:sz w:val="24"/>
        </w:rPr>
        <w:t>event2</w:t>
      </w:r>
      <w:r>
        <w:rPr>
          <w:rFonts w:hint="eastAsia" w:ascii="宋体" w:hAnsi="宋体" w:eastAsia="宋体" w:cs="宋体"/>
          <w:b w:val="0"/>
          <w:sz w:val="24"/>
          <w:lang w:val="en-US" w:eastAsia="zh-CN"/>
        </w:rPr>
        <w:t xml:space="preserve"> </w:t>
      </w:r>
      <w:r>
        <w:rPr>
          <w:rFonts w:ascii="宋体" w:hAnsi="宋体" w:eastAsia="宋体" w:cs="宋体"/>
          <w:b w:val="0"/>
          <w:sz w:val="24"/>
        </w:rPr>
        <w:t>→</w:t>
      </w:r>
      <w:r>
        <w:rPr>
          <w:rFonts w:hint="eastAsia" w:ascii="宋体" w:hAnsi="宋体" w:eastAsia="宋体" w:cs="宋体"/>
          <w:b w:val="0"/>
          <w:sz w:val="24"/>
          <w:lang w:val="en-US" w:eastAsia="zh-CN"/>
        </w:rPr>
        <w:t xml:space="preserve"> </w:t>
      </w:r>
      <w:r>
        <w:rPr>
          <w:rFonts w:ascii="宋体" w:hAnsi="宋体" w:eastAsia="宋体" w:cs="宋体"/>
          <w:b w:val="0"/>
          <w:sz w:val="24"/>
        </w:rPr>
        <w:t>OSD</w:t>
      </w:r>
      <w:r>
        <w:rPr>
          <w:rFonts w:hint="eastAsia" w:ascii="宋体" w:hAnsi="宋体" w:eastAsia="宋体" w:cs="宋体"/>
          <w:b w:val="0"/>
          <w:sz w:val="24"/>
          <w:lang w:val="en-US" w:eastAsia="zh-CN"/>
        </w:rPr>
        <w:t xml:space="preserve"> </w:t>
      </w:r>
      <w:r>
        <w:rPr>
          <w:rFonts w:ascii="宋体" w:hAnsi="宋体" w:eastAsia="宋体" w:cs="宋体"/>
          <w:b w:val="0"/>
          <w:sz w:val="24"/>
        </w:rPr>
        <w:t>→</w:t>
      </w:r>
      <w:r>
        <w:rPr>
          <w:rFonts w:hint="eastAsia" w:ascii="宋体" w:hAnsi="宋体" w:eastAsia="宋体" w:cs="宋体"/>
          <w:b w:val="0"/>
          <w:sz w:val="24"/>
          <w:lang w:val="en-US" w:eastAsia="zh-CN"/>
        </w:rPr>
        <w:t xml:space="preserve"> </w:t>
      </w:r>
      <w:r>
        <w:rPr>
          <w:rFonts w:ascii="宋体" w:hAnsi="宋体" w:eastAsia="宋体" w:cs="宋体"/>
          <w:b w:val="0"/>
          <w:sz w:val="24"/>
        </w:rPr>
        <w:t>forward），单帧端到端延迟≤200ms，具备工业级防护与7×24小时运行能力，同时提供Web管理界面与SSH远程管理功能。检测模型采用YOLO系列单阶段架构，经INT8量化部署至NPU后推理延迟≤80ms，精度损失≤2%。模型定义6类检测目标（人员、安全帽、反光背心、火焰、车辆、头部），通过IoU空间关系判定实现违规自动识别——安全帽中心位于人体上半身区域判定为合规，背心框与人体框重叠面积&gt;30%判定为合规。报警触发后，基于多帧IoU目标关联抑制重复报警（5s同区域冷却），并自动保存JPEG截图经OSD标注后作为LLM多模态分析的输入。</w:t>
      </w:r>
    </w:p>
    <w:p w14:paraId="237D7310">
      <w:pPr>
        <w:spacing w:before="0" w:after="0" w:line="276" w:lineRule="auto"/>
        <w:ind w:firstLine="0"/>
        <w:jc w:val="both"/>
      </w:pPr>
      <w:r>
        <w:rPr>
          <w:rFonts w:ascii="黑体" w:hAnsi="黑体" w:eastAsia="黑体" w:cs="黑体"/>
          <w:b w:val="0"/>
          <w:sz w:val="30"/>
        </w:rPr>
        <w:t>2.4 中枢智能方案论证</w:t>
      </w:r>
    </w:p>
    <w:p w14:paraId="303B2218">
      <w:pPr>
        <w:spacing w:before="0" w:after="0" w:line="276" w:lineRule="auto"/>
        <w:ind w:firstLine="420"/>
        <w:jc w:val="both"/>
      </w:pPr>
      <w:r>
        <w:rPr>
          <w:rFonts w:ascii="宋体" w:hAnsi="宋体" w:eastAsia="宋体" w:cs="宋体"/>
          <w:b w:val="0"/>
          <w:sz w:val="24"/>
        </w:rPr>
        <w:t>中枢端创新性地采用"感知-认知-决策"三层Multi-Agent架构。感知Agent负责解析边缘报警数据并标准化为AlarmEvent；安全Agent调用空间记忆模块检索同区域历史记录（200×200像素网格+60分钟时间窗口），对高频违规自动触发B→A级升级，并调用本地Qwen2.5-VL 7B多模态大模型进行自然语言场景分析；调度Agent内置规则引擎，根据事件等级动态编排工具调用——A级（高危）依次触发拦截→存储→紧急推送→报告生成，B级（一般违规）触发放行→存储→推送→日志，C级仅存储记录。</w:t>
      </w:r>
    </w:p>
    <w:p w14:paraId="08F2E921">
      <w:pPr>
        <w:spacing w:before="0" w:after="0" w:line="276" w:lineRule="auto"/>
        <w:ind w:firstLine="420"/>
        <w:jc w:val="both"/>
      </w:pPr>
      <w:r>
        <w:rPr>
          <w:rFonts w:ascii="宋体" w:hAnsi="宋体" w:eastAsia="宋体" w:cs="宋体"/>
          <w:b w:val="0"/>
          <w:sz w:val="24"/>
        </w:rPr>
        <w:t>大模型选型上，Qwen2.5-VL 7B通过Ollama框架本地部署，支持中文指令跟随与base64图片输入，单次推理约3-5秒，显存占用约6-7GB，数据不出内网，满足工业隐私与离线可用要求。通过专用安全分析Prompt模板（角色设定+结构化输入+明确分析维度+输出约束）引导模型产出场景描述、严重程度评估与处置建议。该"LLM理解+规则决策"混合架构兼顾智能性与可靠性，避免了对大模型的过度依赖。</w:t>
      </w:r>
    </w:p>
    <w:p w14:paraId="30CDF721">
      <w:pPr>
        <w:spacing w:before="0" w:after="0" w:line="276" w:lineRule="auto"/>
        <w:ind w:firstLine="0"/>
        <w:jc w:val="both"/>
      </w:pPr>
      <w:r>
        <w:rPr>
          <w:rFonts w:ascii="黑体" w:hAnsi="黑体" w:eastAsia="黑体" w:cs="黑体"/>
          <w:b w:val="0"/>
          <w:sz w:val="30"/>
        </w:rPr>
        <w:t>2.5 数字孪生展示方案论证</w:t>
      </w:r>
    </w:p>
    <w:p w14:paraId="141038F2">
      <w:pPr>
        <w:spacing w:before="0" w:after="0" w:line="276" w:lineRule="auto"/>
        <w:ind w:firstLine="420"/>
        <w:jc w:val="both"/>
      </w:pPr>
      <w:r>
        <w:rPr>
          <w:rFonts w:ascii="宋体" w:hAnsi="宋体" w:eastAsia="宋体" w:cs="宋体"/>
          <w:b w:val="0"/>
          <w:sz w:val="24"/>
        </w:rPr>
        <w:t>前端基于Three.js（v0.160.0）构建全息赛博风格数字孪生工厂。通过EffectComposer+UnrealBloomPass后期管线实现线框模型的蓝色霓虹光晕与违规工人的红色警告光晕叠加（strength=1.0, radius=0.4, threshold=0.8）。设计了p2w()线性投影算法，将监控画面像素坐标（2000×700）映射至3D物理空间（24m×12m），实现二维检测目标到三维孪生场景的实时定位。通过trackedHumans对象池管理工人模型的创建、平滑移动与失联清理（15s超时），配合CSS2D悬浮标签（红底白字毛玻璃，高度4.5m）、TorusGeometry地面光环（绿/橙/红三色）和Tween.js电影级镜头自动聚焦（A级事件触发1.5s推近+4s停留），实现沉浸式态势感知。同时实施像素比裁剪（≤1.5）、阴影贴图512px、粒子限制300个等优化措施，确保60fps流畅渲染。</w:t>
      </w:r>
    </w:p>
    <w:p w14:paraId="16D4EE98">
      <w:pPr>
        <w:spacing w:before="0" w:after="0" w:line="276" w:lineRule="auto"/>
        <w:ind w:firstLine="0"/>
        <w:jc w:val="both"/>
      </w:pPr>
      <w:r>
        <w:rPr>
          <w:rFonts w:ascii="黑体" w:hAnsi="黑体" w:eastAsia="黑体" w:cs="黑体"/>
          <w:b w:val="0"/>
          <w:sz w:val="30"/>
        </w:rPr>
        <w:t>2.6 通信与人机协同方案论证</w:t>
      </w:r>
    </w:p>
    <w:p w14:paraId="5779F015">
      <w:pPr>
        <w:spacing w:before="0" w:after="0" w:line="276" w:lineRule="auto"/>
        <w:ind w:firstLine="420"/>
        <w:jc w:val="both"/>
      </w:pPr>
      <w:r>
        <w:rPr>
          <w:rFonts w:ascii="宋体" w:hAnsi="宋体" w:eastAsia="宋体" w:cs="宋体"/>
          <w:b w:val="0"/>
          <w:sz w:val="24"/>
        </w:rPr>
        <w:t>系统采用HTTP与WebSocket双通道通信：边缘→中枢通过HTTP POST /alarm传输报警数据，利用请求-响应模型保证传输确认；中枢→展示通过WebSocket实现毫秒级实时推送，支持alarm_with_llm（完整管线输出）和approval_result（审批结果）两种消息类型。跨端告警通过钉钉/企微Webhook实现图文推送——当报警截图有公网URL（Cpolar内网穿透）时采用link类型含缩略图消息，否则降级为markdown文本。</w:t>
      </w:r>
    </w:p>
    <w:p w14:paraId="6EFBBD58">
      <w:pPr>
        <w:spacing w:before="0" w:after="0" w:line="276" w:lineRule="auto"/>
        <w:ind w:firstLine="420"/>
        <w:jc w:val="both"/>
        <w:rPr>
          <w:rFonts w:ascii="宋体" w:hAnsi="宋体" w:eastAsia="宋体" w:cs="宋体"/>
          <w:b w:val="0"/>
          <w:sz w:val="24"/>
        </w:rPr>
      </w:pPr>
      <w:r>
        <w:rPr>
          <w:rFonts w:ascii="宋体" w:hAnsi="宋体" w:eastAsia="宋体" w:cs="宋体"/>
          <w:b w:val="0"/>
          <w:sz w:val="24"/>
        </w:rPr>
        <w:t>针对A级高危事件，设计Human-in-the-Loop人机协同审批机制：调度Agent生成pending工单（JSON持久化），前端动态注入红色审批卡片（"✕ 驳回"/"✓ 授权执行"），安全员通过WebSocket回传审批结果。系统包含5分钟超时自动驳回、审批记录SQLite审计追溯和单点授权防拥堵等安全设计，在保障高风险决策可靠性的同时，确保系统整体不中断运行。</w:t>
      </w:r>
    </w:p>
    <w:p w14:paraId="19EE90AF">
      <w:pPr>
        <w:rPr>
          <w:rFonts w:ascii="宋体" w:hAnsi="宋体" w:eastAsia="宋体" w:cs="宋体"/>
          <w:b w:val="0"/>
          <w:sz w:val="24"/>
        </w:rPr>
      </w:pPr>
      <w:r>
        <w:rPr>
          <w:rFonts w:ascii="宋体" w:hAnsi="宋体" w:eastAsia="宋体" w:cs="宋体"/>
          <w:b w:val="0"/>
          <w:sz w:val="24"/>
        </w:rPr>
        <w:br w:type="page"/>
      </w:r>
    </w:p>
    <w:p w14:paraId="4D968888">
      <w:pPr>
        <w:spacing w:line="400" w:lineRule="exact"/>
        <w:ind w:firstLine="0" w:firstLineChars="0"/>
        <w:jc w:val="center"/>
        <w:outlineLvl w:val="0"/>
        <w:rPr>
          <w:rFonts w:hint="eastAsia" w:ascii="黑体" w:hAnsi="黑体" w:eastAsia="黑体" w:cs="黑体"/>
          <w:sz w:val="36"/>
          <w:szCs w:val="36"/>
        </w:rPr>
      </w:pPr>
      <w:bookmarkStart w:id="0" w:name="_Toc232502445"/>
      <w:r>
        <w:rPr>
          <w:rFonts w:hint="eastAsia" w:ascii="黑体" w:hAnsi="黑体" w:eastAsia="黑体" w:cs="黑体"/>
          <w:sz w:val="36"/>
          <w:szCs w:val="36"/>
        </w:rPr>
        <w:t>第3章 原理分析及硬件电路图</w:t>
      </w:r>
      <w:bookmarkEnd w:id="0"/>
    </w:p>
    <w:p w14:paraId="65C958F9">
      <w:pPr>
        <w:spacing w:line="400" w:lineRule="exact"/>
        <w:ind w:firstLine="0" w:firstLineChars="0"/>
        <w:outlineLvl w:val="1"/>
        <w:rPr>
          <w:rFonts w:hint="eastAsia" w:ascii="黑体" w:hAnsi="黑体" w:eastAsia="黑体"/>
          <w:sz w:val="30"/>
          <w:szCs w:val="30"/>
          <w:shd w:val="clear" w:color="auto" w:fill="FFFFFF"/>
        </w:rPr>
      </w:pPr>
      <w:bookmarkStart w:id="1" w:name="_Toc13377"/>
      <w:bookmarkStart w:id="2" w:name="_Toc232502446"/>
      <w:r>
        <w:rPr>
          <w:rFonts w:hint="eastAsia" w:ascii="黑体" w:hAnsi="黑体" w:eastAsia="黑体"/>
          <w:sz w:val="30"/>
          <w:szCs w:val="30"/>
          <w:shd w:val="clear" w:color="auto" w:fill="FFFFFF"/>
        </w:rPr>
        <w:t>3.1</w:t>
      </w:r>
      <w:bookmarkEnd w:id="1"/>
      <w:r>
        <w:rPr>
          <w:rFonts w:hint="eastAsia" w:ascii="黑体" w:hAnsi="黑体" w:eastAsia="黑体"/>
          <w:sz w:val="30"/>
          <w:szCs w:val="30"/>
          <w:shd w:val="clear" w:color="auto" w:fill="FFFFFF"/>
        </w:rPr>
        <w:t>系统原理</w:t>
      </w:r>
      <w:bookmarkEnd w:id="2"/>
    </w:p>
    <w:p w14:paraId="26EA8106">
      <w:pPr>
        <w:spacing w:line="400" w:lineRule="exact"/>
        <w:jc w:val="left"/>
        <w:rPr>
          <w:rFonts w:hint="eastAsia" w:cs="Times New Roman"/>
        </w:rPr>
      </w:pPr>
      <w:r>
        <w:rPr>
          <w:rFonts w:cs="Times New Roman"/>
        </w:rPr>
        <w:t>本系统采用"边缘检测 + 中枢智能 + 数字孪生"的端边云协同架构，实现了工厂安全监控的完整智能闭环。整个系统集成了多项先进的软硬件技术。在硬件层面，系统利用海康超脑盒子搭载的双NPU神经处理单元芯片进行边缘计算，在200毫秒的低延迟内完成YOLO目标检测；同时配备本地PC运行三层智能体系统和Qwen2.5-VL多模态大模型，支持复杂场景的理解和决策；最后通过Three.js三维图形引擎在前端展示全息数字孪生大屏。在软件层面，系统设计了感知智能体、安全智能体和调度智能体的三层分离架构，通过标准化的报警事件数据类进行模块间通信，确保数据流的清晰性和可追溯性。</w:t>
      </w:r>
    </w:p>
    <w:p w14:paraId="529FA417">
      <w:pPr>
        <w:spacing w:line="400" w:lineRule="exact"/>
        <w:jc w:val="left"/>
        <w:rPr>
          <w:rFonts w:hint="eastAsia" w:cs="Times New Roman"/>
        </w:rPr>
      </w:pPr>
      <w:r>
        <w:rPr>
          <w:rFonts w:ascii="宋体" w:hAnsi="宋体" w:cs="宋体"/>
          <w:shd w:val="clear" w:color="auto" w:fill="FFFFFF"/>
        </w:rPr>
        <w:drawing>
          <wp:anchor distT="0" distB="0" distL="114300" distR="114300" simplePos="0" relativeHeight="251659264" behindDoc="0" locked="0" layoutInCell="1" allowOverlap="1">
            <wp:simplePos x="0" y="0"/>
            <wp:positionH relativeFrom="margin">
              <wp:posOffset>79375</wp:posOffset>
            </wp:positionH>
            <wp:positionV relativeFrom="paragraph">
              <wp:posOffset>3058160</wp:posOffset>
            </wp:positionV>
            <wp:extent cx="5080635" cy="2983865"/>
            <wp:effectExtent l="0" t="0" r="9525" b="3175"/>
            <wp:wrapTopAndBottom/>
            <wp:docPr id="1780502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02392" name="图片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080635" cy="2983865"/>
                    </a:xfrm>
                    <a:prstGeom prst="rect">
                      <a:avLst/>
                    </a:prstGeom>
                  </pic:spPr>
                </pic:pic>
              </a:graphicData>
            </a:graphic>
          </wp:anchor>
        </w:drawing>
      </w:r>
      <w:r>
        <w:rPr>
          <w:rFonts w:cs="Times New Roman"/>
        </w:rPr>
        <w:t>系统的核心工作流程为：摄像头实时推送RTSP视频流到边缘端海康盒子，盒子利用YOLO模型进行人员及安全装备的目标检测，生成包含目标位置、类别、置信度的检测结果；检测结果通过HTTP POST协议上报至中枢PC，PC的主线程快速完成数据解析、去重过滤和图片标注，随后立即返回HTTP响应；与此同时，PC启动异步线程执行智能体管线处理，包括数据标准化、历史记忆查询、大模型多模态推理、规则引擎决策以及数据库存储、钉钉告警、报告生成、人机协同审批四类工具调用；最后，PC通过WebSocket持久连接向所有连接的浏览器客户端广播分析结果，前端Three.js场景实时更新三维人物模型、光环效果、标签动画，并根据事件等级触发相应的可视化反馈，例如A级事件自动触发镜头推近与语音播报。这种架构充分发挥了边缘计算的低延迟优势、中枢计算的强大分析能力、以及前端展示的沉浸式用户体验。</w:t>
      </w:r>
    </w:p>
    <w:p w14:paraId="1D775DF7">
      <w:pPr>
        <w:spacing w:line="400" w:lineRule="exact"/>
        <w:jc w:val="left"/>
        <w:rPr>
          <w:rFonts w:hint="eastAsia" w:cs="Times New Roman"/>
        </w:rPr>
      </w:pPr>
      <w:r>
        <w:rPr>
          <w:rFonts w:cs="Times New Roman"/>
        </w:rPr>
        <w:t>端边云协同的工厂安全智能体系统整体框架如下</w:t>
      </w:r>
      <w:r>
        <w:rPr>
          <w:rFonts w:hint="eastAsia" w:cs="Times New Roman"/>
        </w:rPr>
        <w:t>：</w:t>
      </w:r>
    </w:p>
    <w:p w14:paraId="4D097767">
      <w:pPr>
        <w:spacing w:line="400" w:lineRule="exact"/>
        <w:ind w:firstLine="0" w:firstLineChars="0"/>
        <w:jc w:val="center"/>
        <w:rPr>
          <w:rFonts w:hint="eastAsia" w:ascii="宋体" w:hAnsi="宋体" w:cs="宋体"/>
          <w:shd w:val="clear" w:color="auto" w:fill="FFFFFF"/>
        </w:rPr>
      </w:pPr>
      <w:r>
        <w:rPr>
          <w:rFonts w:hint="eastAsia" w:ascii="宋体" w:hAnsi="宋体" w:cs="宋体"/>
          <w:shd w:val="clear" w:color="auto" w:fill="FFFFFF"/>
        </w:rPr>
        <w:t>图</w:t>
      </w:r>
      <w:r>
        <w:rPr>
          <w:rFonts w:ascii="宋体" w:hAnsi="宋体" w:cs="宋体"/>
          <w:shd w:val="clear" w:color="auto" w:fill="FFFFFF"/>
        </w:rPr>
        <w:t>3</w:t>
      </w:r>
      <w:r>
        <w:rPr>
          <w:rFonts w:hint="eastAsia" w:ascii="宋体" w:hAnsi="宋体" w:cs="宋体"/>
          <w:shd w:val="clear" w:color="auto" w:fill="FFFFFF"/>
        </w:rPr>
        <w:t>-</w:t>
      </w:r>
      <w:r>
        <w:rPr>
          <w:rFonts w:ascii="宋体" w:hAnsi="宋体" w:cs="宋体"/>
          <w:shd w:val="clear" w:color="auto" w:fill="FFFFFF"/>
        </w:rPr>
        <w:t>1</w:t>
      </w:r>
      <w:r>
        <w:rPr>
          <w:rFonts w:hint="eastAsia" w:ascii="宋体" w:hAnsi="宋体" w:cs="宋体"/>
          <w:shd w:val="clear" w:color="auto" w:fill="FFFFFF"/>
        </w:rPr>
        <w:t xml:space="preserve"> 系统整体框架</w:t>
      </w:r>
    </w:p>
    <w:p w14:paraId="335A0F64">
      <w:pPr>
        <w:spacing w:line="400" w:lineRule="exact"/>
        <w:ind w:firstLine="0" w:firstLineChars="0"/>
        <w:outlineLvl w:val="1"/>
        <w:rPr>
          <w:rFonts w:hint="eastAsia" w:ascii="黑体" w:hAnsi="黑体" w:eastAsia="黑体"/>
          <w:sz w:val="30"/>
          <w:szCs w:val="30"/>
          <w:shd w:val="clear" w:color="auto" w:fill="FFFFFF"/>
        </w:rPr>
      </w:pPr>
      <w:bookmarkStart w:id="3" w:name="_Toc232502447"/>
      <w:r>
        <w:rPr>
          <w:rFonts w:hint="eastAsia" w:ascii="黑体" w:hAnsi="黑体" w:eastAsia="黑体"/>
          <w:sz w:val="30"/>
          <w:szCs w:val="30"/>
          <w:shd w:val="clear" w:color="auto" w:fill="FFFFFF"/>
        </w:rPr>
        <w:t>3.</w:t>
      </w:r>
      <w:r>
        <w:rPr>
          <w:rFonts w:ascii="黑体" w:hAnsi="黑体" w:eastAsia="黑体"/>
          <w:sz w:val="30"/>
          <w:szCs w:val="30"/>
          <w:shd w:val="clear" w:color="auto" w:fill="FFFFFF"/>
        </w:rPr>
        <w:t>2</w:t>
      </w:r>
      <w:r>
        <w:rPr>
          <w:rFonts w:hint="eastAsia" w:ascii="黑体" w:hAnsi="黑体" w:eastAsia="黑体"/>
          <w:sz w:val="30"/>
          <w:szCs w:val="30"/>
          <w:shd w:val="clear" w:color="auto" w:fill="FFFFFF"/>
        </w:rPr>
        <w:t>整体硬件结构</w:t>
      </w:r>
      <w:bookmarkEnd w:id="3"/>
    </w:p>
    <w:p w14:paraId="19642AFF">
      <w:pPr>
        <w:spacing w:line="400" w:lineRule="exact"/>
        <w:jc w:val="left"/>
        <w:rPr>
          <w:rFonts w:hint="eastAsia" w:ascii="宋体" w:hAnsi="宋体" w:cs="宋体"/>
        </w:rPr>
      </w:pPr>
      <w:r>
        <w:rPr>
          <w:rFonts w:ascii="宋体" w:hAnsi="宋体" w:cs="宋体"/>
        </w:rPr>
        <w:t>系统采用三设备协同的硬件拓扑，各设备通过10.53.4.x局域网连接。</w:t>
      </w:r>
      <w:r>
        <w:rPr>
          <w:rFonts w:ascii="宋体" w:hAnsi="宋体" w:cs="宋体"/>
          <w:b/>
          <w:bCs/>
        </w:rPr>
        <w:t>摄像头部分</w:t>
      </w:r>
      <w:r>
        <w:rPr>
          <w:rFonts w:ascii="宋体" w:hAnsi="宋体" w:cs="宋体"/>
        </w:rPr>
        <w:t>采用1920×1080分辨率、30帧每秒的网络摄像头，支持RTSP协议并通过554端口推送视频流，能够稳定输出高质量画面。选择网络摄像头而非USB摄像头的优势在于：网络摄像头支持远程部署、低延迟的IP直连、以及多设备的并发访问，相比USB摄像头需要驱动程序支持和本地连接的方案，更适合工业场景的扩展性要求。</w:t>
      </w:r>
    </w:p>
    <w:p w14:paraId="04A261F8">
      <w:pPr>
        <w:spacing w:line="400" w:lineRule="exact"/>
        <w:ind w:firstLine="482"/>
        <w:jc w:val="left"/>
        <w:rPr>
          <w:rFonts w:hint="eastAsia" w:ascii="宋体" w:hAnsi="宋体" w:cs="宋体"/>
        </w:rPr>
      </w:pPr>
      <w:r>
        <w:rPr>
          <w:rFonts w:ascii="宋体" w:hAnsi="宋体" w:cs="宋体"/>
          <w:b/>
          <w:bCs/>
        </w:rPr>
        <w:t>海康超脑盒子</w:t>
      </w:r>
      <w:r>
        <w:rPr>
          <w:rFonts w:ascii="宋体" w:hAnsi="宋体" w:cs="宋体"/>
        </w:rPr>
        <w:t>是该系统的边缘计算核心，相比普通嵌入式设备，其独特优势体现在以下几点。首先，盒子集成了海康威视自研的HIKStream推理框架，专为目标检测优化，支持.hsbin等多种模型格式的加载和推理，无需复杂的模型转换过程。其次，搭载的双NPU芯片提供了专用的神经网络计算能力，相比通用CPU运算，NPU能够将YOLO推理延迟控制在200毫秒以内，这种性能提升对实时监控至关重要。再次，盒子提供了丰富的接口和管理方式，包括SSH远程登录、Web管理界面、Jupyter Lab开发环境，便于远程部署、配置调试和模型更新。最后，作为工业级设备，盒子具有更好的稳定性和可靠性，支持长时间无间断运行，满足24小时监控的需求。</w:t>
      </w:r>
    </w:p>
    <w:p w14:paraId="2A0DF6A7">
      <w:pPr>
        <w:spacing w:line="400" w:lineRule="exact"/>
        <w:ind w:firstLine="482"/>
        <w:jc w:val="left"/>
        <w:rPr>
          <w:rFonts w:hint="eastAsia" w:ascii="宋体" w:hAnsi="宋体" w:cs="宋体"/>
        </w:rPr>
      </w:pPr>
      <w:r>
        <w:rPr>
          <w:rFonts w:ascii="宋体" w:hAnsi="宋体" w:cs="宋体"/>
          <w:b/>
          <w:bCs/>
        </w:rPr>
        <w:t>本地PC</w:t>
      </w:r>
      <w:r>
        <w:rPr>
          <w:rFonts w:ascii="宋体" w:hAnsi="宋体" w:cs="宋体"/>
        </w:rPr>
        <w:t>搭载Windows 11操作系统、RTX 40</w:t>
      </w:r>
      <w:r>
        <w:rPr>
          <w:rFonts w:hint="eastAsia" w:ascii="宋体" w:hAnsi="宋体" w:cs="宋体"/>
        </w:rPr>
        <w:t>90</w:t>
      </w:r>
      <w:r>
        <w:rPr>
          <w:rFonts w:ascii="宋体" w:hAnsi="宋体" w:cs="宋体"/>
        </w:rPr>
        <w:t>显卡和16GB显存，作为系统的中枢智能枢纽，其优势在于：强大的GPU计算能力用于支撑Qwen2.5-VL 7B多模态大模型的本地推理，保证了数据隐私和推理速度；充足的内存和存储容量用于SQLite数据库、大模型权重以及历史报警数据的存储；灵活的开发环境支持Python、Node.js等多种技术栈的集成；以太网和WiFi双网卡支持确保了稳定的网络连接和备用方案。相比将智能分析上云的方案，本地部署的优势包括：数据安全，即敏感的监控内容不离开工厂内网；低延迟，即无网络往返时间；离线可用性，即网络故障时系统仍可运行；以及成本控制，即无云服务</w:t>
      </w:r>
      <w:r>
        <w:rPr>
          <w:rFonts w:hint="eastAsia"/>
        </w:rPr>
        <w:drawing>
          <wp:anchor distT="0" distB="0" distL="114300" distR="114300" simplePos="0" relativeHeight="251669504" behindDoc="0" locked="0" layoutInCell="1" allowOverlap="1">
            <wp:simplePos x="0" y="0"/>
            <wp:positionH relativeFrom="margin">
              <wp:align>left</wp:align>
            </wp:positionH>
            <wp:positionV relativeFrom="paragraph">
              <wp:posOffset>579755</wp:posOffset>
            </wp:positionV>
            <wp:extent cx="5273040" cy="3479800"/>
            <wp:effectExtent l="0" t="0" r="0" b="10160"/>
            <wp:wrapTopAndBottom/>
            <wp:docPr id="12387218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21823" name="图片 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3040" cy="3479800"/>
                    </a:xfrm>
                    <a:prstGeom prst="rect">
                      <a:avLst/>
                    </a:prstGeom>
                  </pic:spPr>
                </pic:pic>
              </a:graphicData>
            </a:graphic>
          </wp:anchor>
        </w:drawing>
      </w:r>
      <w:r>
        <w:rPr>
          <w:rFonts w:ascii="宋体" w:hAnsi="宋体" w:cs="宋体"/>
        </w:rPr>
        <w:t>调用费用。</w:t>
      </w:r>
      <w:r>
        <w:rPr>
          <w:rFonts w:hint="eastAsia" w:ascii="宋体" w:hAnsi="宋体" w:cs="宋体"/>
        </w:rPr>
        <w:t>整个系统的硬件连接方式如图：</w:t>
      </w:r>
    </w:p>
    <w:p w14:paraId="2303DC85">
      <w:pPr>
        <w:spacing w:line="400" w:lineRule="exact"/>
        <w:jc w:val="center"/>
        <w:rPr>
          <w:rFonts w:hint="eastAsia" w:ascii="宋体" w:hAnsi="宋体" w:cs="宋体"/>
          <w:shd w:val="clear" w:color="auto" w:fill="FFFFFF"/>
        </w:rPr>
      </w:pPr>
      <w:r>
        <w:rPr>
          <w:rFonts w:hint="eastAsia" w:ascii="宋体" w:hAnsi="宋体" w:cs="宋体"/>
          <w:shd w:val="clear" w:color="auto" w:fill="FFFFFF"/>
        </w:rPr>
        <w:t>图</w:t>
      </w:r>
      <w:r>
        <w:rPr>
          <w:rFonts w:ascii="宋体" w:hAnsi="宋体" w:cs="宋体"/>
          <w:shd w:val="clear" w:color="auto" w:fill="FFFFFF"/>
        </w:rPr>
        <w:t>3</w:t>
      </w:r>
      <w:r>
        <w:rPr>
          <w:rFonts w:hint="eastAsia" w:ascii="宋体" w:hAnsi="宋体" w:cs="宋体"/>
          <w:shd w:val="clear" w:color="auto" w:fill="FFFFFF"/>
        </w:rPr>
        <w:t>-</w:t>
      </w:r>
      <w:r>
        <w:rPr>
          <w:rFonts w:ascii="宋体" w:hAnsi="宋体" w:cs="宋体"/>
          <w:shd w:val="clear" w:color="auto" w:fill="FFFFFF"/>
        </w:rPr>
        <w:t>2</w:t>
      </w:r>
      <w:r>
        <w:rPr>
          <w:rFonts w:hint="eastAsia" w:ascii="宋体" w:hAnsi="宋体" w:cs="宋体"/>
          <w:shd w:val="clear" w:color="auto" w:fill="FFFFFF"/>
        </w:rPr>
        <w:t>工厂安全智能体系统硬件架构图</w:t>
      </w:r>
    </w:p>
    <w:p w14:paraId="79471B0C">
      <w:pPr>
        <w:spacing w:line="400" w:lineRule="exact"/>
        <w:ind w:firstLine="0" w:firstLineChars="0"/>
        <w:outlineLvl w:val="1"/>
        <w:rPr>
          <w:rFonts w:hint="eastAsia" w:ascii="黑体" w:hAnsi="黑体" w:eastAsia="黑体"/>
          <w:sz w:val="30"/>
          <w:szCs w:val="30"/>
          <w:shd w:val="clear" w:color="auto" w:fill="FFFFFF"/>
        </w:rPr>
      </w:pPr>
      <w:bookmarkStart w:id="4" w:name="_Toc232502448"/>
      <w:r>
        <w:rPr>
          <w:rFonts w:hint="eastAsia" w:ascii="黑体" w:hAnsi="黑体" w:eastAsia="黑体"/>
          <w:sz w:val="30"/>
          <w:szCs w:val="30"/>
          <w:shd w:val="clear" w:color="auto" w:fill="FFFFFF"/>
        </w:rPr>
        <w:t>3.</w:t>
      </w:r>
      <w:r>
        <w:rPr>
          <w:rFonts w:ascii="黑体" w:hAnsi="黑体" w:eastAsia="黑体"/>
          <w:sz w:val="30"/>
          <w:szCs w:val="30"/>
          <w:shd w:val="clear" w:color="auto" w:fill="FFFFFF"/>
        </w:rPr>
        <w:t>3</w:t>
      </w:r>
      <w:r>
        <w:rPr>
          <w:rFonts w:hint="eastAsia" w:ascii="黑体" w:hAnsi="黑体" w:eastAsia="黑体"/>
          <w:sz w:val="30"/>
          <w:szCs w:val="30"/>
          <w:shd w:val="clear" w:color="auto" w:fill="FFFFFF"/>
        </w:rPr>
        <w:t>硬件架构图</w:t>
      </w:r>
      <w:bookmarkEnd w:id="4"/>
    </w:p>
    <w:p w14:paraId="6B9D6BE6">
      <w:pPr>
        <w:spacing w:line="400" w:lineRule="exact"/>
        <w:jc w:val="left"/>
        <w:rPr>
          <w:rFonts w:hint="eastAsia" w:ascii="宋体" w:hAnsi="宋体" w:cs="宋体"/>
        </w:rPr>
      </w:pPr>
      <w:r>
        <w:rPr>
          <w:rFonts w:ascii="宋体" w:hAnsi="宋体" w:cs="宋体"/>
        </w:rPr>
        <w:t>海康超脑盒子的内部硬件架构采用模块化设计。盒子搭载的双NPU芯片集成了H.264/H.265硬件视频编解码器，使得RTSP流的解码不占用CPU资源。YOLO推理模型mymodel1.hsbin经过专门优化，能够在NPU上以200毫秒/帧的速度运行，输出包括人员、安全帽、背心、火焰、车辆、头部等</w:t>
      </w:r>
      <w:r>
        <w:rPr>
          <w:rFonts w:hint="eastAsia" w:ascii="宋体" w:hAnsi="宋体" w:cs="宋体"/>
        </w:rPr>
        <w:t>多</w:t>
      </w:r>
      <w:r>
        <w:rPr>
          <w:rFonts w:ascii="宋体" w:hAnsi="宋体" w:cs="宋体"/>
        </w:rPr>
        <w:t>类目标的检</w:t>
      </w:r>
      <w:r>
        <w:rPr>
          <w:rFonts w:ascii="宋体" w:hAnsi="宋体" w:cs="宋体"/>
        </w:rPr>
        <w:drawing>
          <wp:anchor distT="0" distB="0" distL="114300" distR="114300" simplePos="0" relativeHeight="251660288" behindDoc="0" locked="0" layoutInCell="1" allowOverlap="1">
            <wp:simplePos x="0" y="0"/>
            <wp:positionH relativeFrom="margin">
              <wp:align>left</wp:align>
            </wp:positionH>
            <wp:positionV relativeFrom="paragraph">
              <wp:posOffset>140335</wp:posOffset>
            </wp:positionV>
            <wp:extent cx="5216525" cy="2672080"/>
            <wp:effectExtent l="0" t="0" r="10795" b="10160"/>
            <wp:wrapTopAndBottom/>
            <wp:docPr id="1367586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86230"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16525" cy="2672080"/>
                    </a:xfrm>
                    <a:prstGeom prst="rect">
                      <a:avLst/>
                    </a:prstGeom>
                  </pic:spPr>
                </pic:pic>
              </a:graphicData>
            </a:graphic>
          </wp:anchor>
        </w:drawing>
      </w:r>
      <w:r>
        <w:rPr>
          <w:rFonts w:ascii="宋体" w:hAnsi="宋体" w:cs="宋体"/>
        </w:rPr>
        <w:t>测结果。盒子内的事件处理引擎支持自定义规则配置，允许用户根据检测结果</w:t>
      </w:r>
      <w:r>
        <w:rPr>
          <w:rFonts w:hint="eastAsia" w:ascii="宋体" w:hAnsi="宋体" w:cs="宋体"/>
        </w:rPr>
        <w:t>自</w:t>
      </w:r>
      <w:r>
        <w:rPr>
          <w:rFonts w:ascii="宋体" w:hAnsi="宋体" w:cs="宋体"/>
        </w:rPr>
        <w:t>定义触发条件</w:t>
      </w:r>
      <w:r>
        <w:rPr>
          <w:rFonts w:hint="eastAsia" w:ascii="宋体" w:hAnsi="宋体" w:cs="宋体"/>
        </w:rPr>
        <w:t>，</w:t>
      </w:r>
      <w:r>
        <w:rPr>
          <w:rFonts w:ascii="宋体" w:hAnsi="宋体" w:cs="宋体"/>
        </w:rPr>
        <w:t>如"检测到未戴安全帽的人员"，并通过HTTP/RTSP接口上报事件</w:t>
      </w:r>
      <w:r>
        <w:rPr>
          <w:rFonts w:hint="eastAsia" w:ascii="宋体" w:hAnsi="宋体" w:cs="宋体"/>
        </w:rPr>
        <w:t>及</w:t>
      </w:r>
      <w:r>
        <w:rPr>
          <w:rFonts w:ascii="宋体" w:hAnsi="宋体" w:cs="宋体"/>
        </w:rPr>
        <w:t>转推图像。盒子还集成了Linux操作系统和容器化运行，支持自定义应用程序的开发部署。</w:t>
      </w:r>
    </w:p>
    <w:p w14:paraId="51A65CAC">
      <w:pPr>
        <w:spacing w:line="400" w:lineRule="exact"/>
        <w:jc w:val="left"/>
        <w:rPr>
          <w:rFonts w:ascii="宋体" w:hAnsi="宋体" w:cs="宋体"/>
        </w:rPr>
      </w:pPr>
      <w:r>
        <w:rPr>
          <w:rFonts w:ascii="宋体" w:hAnsi="宋体" w:cs="宋体"/>
        </w:rPr>
        <w:t>盒子的另一个关键特性是其冗余网络设计——配备的两个千兆网口支持链路聚合或热备份，确保网络故障时系统的连续性。此外，盒子支持远程升级和OTA更新，使得模型迭代和固件升级无需物理接入设备。这些设计使得海康超脑盒子非常适合工业级的2</w:t>
      </w:r>
      <w:r>
        <w:rPr>
          <w:rFonts w:hint="eastAsia" w:ascii="宋体" w:hAnsi="宋体" w:cs="宋体"/>
        </w:rPr>
        <w:t>4小时</w:t>
      </w:r>
      <w:r>
        <w:rPr>
          <w:rFonts w:ascii="宋体" w:hAnsi="宋体" w:cs="宋体"/>
        </w:rPr>
        <w:t>无人值守部署。</w:t>
      </w:r>
    </w:p>
    <w:p w14:paraId="1461ACAB">
      <w:pPr>
        <w:spacing w:line="400" w:lineRule="exact"/>
        <w:jc w:val="left"/>
        <w:rPr>
          <w:rFonts w:hint="eastAsia" w:ascii="宋体" w:hAnsi="宋体" w:cs="宋体"/>
        </w:rPr>
      </w:pPr>
      <w:r>
        <w:rPr>
          <w:rFonts w:ascii="宋体" w:hAnsi="宋体" w:cs="宋体"/>
        </w:rPr>
        <w:drawing>
          <wp:anchor distT="0" distB="0" distL="114300" distR="114300" simplePos="0" relativeHeight="251661312" behindDoc="0" locked="0" layoutInCell="1" allowOverlap="1">
            <wp:simplePos x="0" y="0"/>
            <wp:positionH relativeFrom="margin">
              <wp:align>right</wp:align>
            </wp:positionH>
            <wp:positionV relativeFrom="paragraph">
              <wp:posOffset>292100</wp:posOffset>
            </wp:positionV>
            <wp:extent cx="5274310" cy="2828925"/>
            <wp:effectExtent l="0" t="0" r="13970" b="5715"/>
            <wp:wrapTopAndBottom/>
            <wp:docPr id="29045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5203"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828925"/>
                    </a:xfrm>
                    <a:prstGeom prst="rect">
                      <a:avLst/>
                    </a:prstGeom>
                  </pic:spPr>
                </pic:pic>
              </a:graphicData>
            </a:graphic>
          </wp:anchor>
        </w:drawing>
      </w:r>
      <w:r>
        <w:rPr>
          <w:rFonts w:hint="eastAsia" w:ascii="宋体" w:hAnsi="宋体" w:cs="宋体"/>
        </w:rPr>
        <w:t>边缘计算盒子硬件架构图如下所示：</w:t>
      </w:r>
    </w:p>
    <w:p w14:paraId="73A87442">
      <w:pPr>
        <w:spacing w:line="400" w:lineRule="exact"/>
        <w:jc w:val="center"/>
        <w:rPr>
          <w:rFonts w:ascii="宋体" w:hAnsi="宋体" w:cs="宋体"/>
          <w:shd w:val="clear" w:color="auto" w:fill="FFFFFF"/>
        </w:rPr>
      </w:pPr>
      <w:r>
        <w:rPr>
          <w:rFonts w:hint="eastAsia" w:ascii="宋体" w:hAnsi="宋体" w:cs="宋体"/>
          <w:shd w:val="clear" w:color="auto" w:fill="FFFFFF"/>
        </w:rPr>
        <w:t>图3-3 边缘计算盒子硬件架构图</w:t>
      </w:r>
    </w:p>
    <w:p w14:paraId="6E386747">
      <w:pPr>
        <w:spacing w:line="400" w:lineRule="exact"/>
        <w:jc w:val="center"/>
        <w:rPr>
          <w:rFonts w:ascii="宋体" w:hAnsi="宋体" w:cs="宋体"/>
          <w:shd w:val="clear" w:color="auto" w:fill="FFFFFF"/>
        </w:rPr>
      </w:pPr>
    </w:p>
    <w:p w14:paraId="2D082219">
      <w:pPr>
        <w:spacing w:line="400" w:lineRule="exact"/>
        <w:ind w:firstLine="0" w:firstLineChars="0"/>
        <w:jc w:val="center"/>
        <w:rPr>
          <w:rFonts w:ascii="宋体" w:hAnsi="宋体" w:cs="宋体"/>
          <w:shd w:val="clear" w:color="auto" w:fill="FFFFFF"/>
        </w:rPr>
      </w:pPr>
      <w:r>
        <w:rPr>
          <w:rFonts w:ascii="宋体" w:hAnsi="宋体" w:cs="宋体"/>
          <w:shd w:val="clear" w:color="auto" w:fill="FFFFFF"/>
        </w:rPr>
        <w:drawing>
          <wp:anchor distT="0" distB="0" distL="114300" distR="114300" simplePos="0" relativeHeight="251663360" behindDoc="0" locked="0" layoutInCell="1" allowOverlap="1">
            <wp:simplePos x="0" y="0"/>
            <wp:positionH relativeFrom="margin">
              <wp:align>center</wp:align>
            </wp:positionH>
            <wp:positionV relativeFrom="paragraph">
              <wp:posOffset>50165</wp:posOffset>
            </wp:positionV>
            <wp:extent cx="5075555" cy="3805555"/>
            <wp:effectExtent l="0" t="0" r="14605" b="4445"/>
            <wp:wrapTopAndBottom/>
            <wp:docPr id="17195027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02755"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075555" cy="3805555"/>
                    </a:xfrm>
                    <a:prstGeom prst="rect">
                      <a:avLst/>
                    </a:prstGeom>
                    <a:noFill/>
                    <a:ln>
                      <a:noFill/>
                    </a:ln>
                  </pic:spPr>
                </pic:pic>
              </a:graphicData>
            </a:graphic>
          </wp:anchor>
        </w:drawing>
      </w:r>
      <w:r>
        <w:rPr>
          <w:rFonts w:hint="eastAsia" w:ascii="宋体" w:hAnsi="宋体" w:cs="宋体"/>
          <w:shd w:val="clear" w:color="auto" w:fill="FFFFFF"/>
        </w:rPr>
        <w:t>图3-4 边缘计算盒子实际硬件图</w:t>
      </w:r>
    </w:p>
    <w:p w14:paraId="1F4B4746">
      <w:pPr>
        <w:spacing w:line="400" w:lineRule="exact"/>
        <w:ind w:firstLine="0" w:firstLineChars="0"/>
        <w:jc w:val="center"/>
        <w:rPr>
          <w:rFonts w:hint="eastAsia" w:ascii="宋体" w:hAnsi="宋体" w:cs="宋体"/>
          <w:shd w:val="clear" w:color="auto" w:fill="FFFFFF"/>
        </w:rPr>
      </w:pPr>
      <w:r>
        <w:rPr>
          <w:rFonts w:hint="eastAsia" w:ascii="宋体" w:hAnsi="宋体" w:cs="宋体"/>
          <w:shd w:val="clear" w:color="auto" w:fill="FFFFFF"/>
        </w:rPr>
        <w:t>表3-1 边缘计算盒子</w:t>
      </w:r>
      <w:r>
        <w:rPr>
          <w:rFonts w:hint="eastAsia" w:ascii="宋体" w:hAnsi="宋体" w:cs="宋体"/>
        </w:rPr>
        <w:t>规格参数</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4"/>
        <w:gridCol w:w="5093"/>
      </w:tblGrid>
      <w:tr w14:paraId="2424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24" w:type="dxa"/>
            <w:vAlign w:val="center"/>
          </w:tcPr>
          <w:p w14:paraId="3F55E3D1">
            <w:pPr>
              <w:widowControl/>
              <w:spacing w:before="100" w:beforeAutospacing="1" w:line="240" w:lineRule="auto"/>
              <w:ind w:firstLine="1350" w:firstLineChars="900"/>
              <w:rPr>
                <w:rFonts w:hint="eastAsia" w:ascii="宋体" w:hAnsi="宋体" w:cs="宋体"/>
                <w:sz w:val="15"/>
                <w:szCs w:val="15"/>
              </w:rPr>
            </w:pPr>
            <w:r>
              <w:rPr>
                <w:rFonts w:hint="eastAsia" w:ascii="宋体" w:hAnsi="宋体" w:cs="宋体"/>
                <w:sz w:val="15"/>
                <w:szCs w:val="15"/>
              </w:rPr>
              <w:t>特征</w:t>
            </w:r>
          </w:p>
        </w:tc>
        <w:tc>
          <w:tcPr>
            <w:tcW w:w="5093" w:type="dxa"/>
            <w:vAlign w:val="center"/>
          </w:tcPr>
          <w:p w14:paraId="3A7476F1">
            <w:pPr>
              <w:widowControl/>
              <w:spacing w:before="100" w:beforeAutospacing="1" w:line="240" w:lineRule="auto"/>
              <w:ind w:firstLine="300"/>
              <w:jc w:val="center"/>
              <w:rPr>
                <w:rFonts w:hint="eastAsia" w:ascii="宋体" w:hAnsi="宋体" w:cs="宋体"/>
                <w:sz w:val="15"/>
                <w:szCs w:val="15"/>
              </w:rPr>
            </w:pPr>
            <w:r>
              <w:rPr>
                <w:rFonts w:hint="eastAsia" w:ascii="宋体" w:hAnsi="宋体" w:cs="宋体"/>
                <w:sz w:val="15"/>
                <w:szCs w:val="15"/>
              </w:rPr>
              <w:t>规格</w:t>
            </w:r>
          </w:p>
        </w:tc>
      </w:tr>
      <w:tr w14:paraId="2C51E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4" w:type="dxa"/>
            <w:vAlign w:val="center"/>
          </w:tcPr>
          <w:p w14:paraId="04A63ACB">
            <w:pPr>
              <w:widowControl w:val="0"/>
              <w:spacing w:line="240" w:lineRule="auto"/>
              <w:ind w:firstLine="1200" w:firstLineChars="800"/>
              <w:rPr>
                <w:rFonts w:hint="eastAsia" w:ascii="宋体" w:hAnsi="宋体" w:cs="宋体"/>
                <w:sz w:val="15"/>
                <w:szCs w:val="15"/>
              </w:rPr>
            </w:pPr>
            <w:r>
              <w:rPr>
                <w:rFonts w:ascii="宋体" w:hAnsi="宋体" w:cs="宋体"/>
                <w:sz w:val="15"/>
                <w:szCs w:val="15"/>
              </w:rPr>
              <w:t>处理器</w:t>
            </w:r>
          </w:p>
        </w:tc>
        <w:tc>
          <w:tcPr>
            <w:tcW w:w="5093" w:type="dxa"/>
            <w:vAlign w:val="center"/>
          </w:tcPr>
          <w:p w14:paraId="52A31F18">
            <w:pPr>
              <w:widowControl w:val="0"/>
              <w:spacing w:line="240" w:lineRule="auto"/>
              <w:ind w:firstLine="300"/>
              <w:jc w:val="center"/>
              <w:rPr>
                <w:rFonts w:hint="eastAsia" w:ascii="宋体" w:hAnsi="宋体" w:cs="宋体"/>
                <w:sz w:val="15"/>
                <w:szCs w:val="15"/>
              </w:rPr>
            </w:pPr>
            <w:r>
              <w:rPr>
                <w:rFonts w:ascii="宋体" w:hAnsi="宋体" w:cs="宋体"/>
                <w:sz w:val="15"/>
                <w:szCs w:val="15"/>
              </w:rPr>
              <w:t xml:space="preserve">ARM64 </w:t>
            </w:r>
            <w:r>
              <w:rPr>
                <w:rFonts w:hint="eastAsia" w:ascii="宋体" w:hAnsi="宋体" w:cs="宋体"/>
                <w:sz w:val="15"/>
                <w:szCs w:val="15"/>
              </w:rPr>
              <w:t>；</w:t>
            </w:r>
            <w:r>
              <w:rPr>
                <w:rFonts w:ascii="宋体" w:hAnsi="宋体" w:cs="宋体"/>
                <w:sz w:val="15"/>
                <w:szCs w:val="15"/>
              </w:rPr>
              <w:t xml:space="preserve"> 八核 CPU @ 2.4GHz</w:t>
            </w:r>
          </w:p>
        </w:tc>
      </w:tr>
      <w:tr w14:paraId="24AA6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4" w:type="dxa"/>
            <w:vAlign w:val="center"/>
          </w:tcPr>
          <w:p w14:paraId="7AB668FC">
            <w:pPr>
              <w:widowControl w:val="0"/>
              <w:spacing w:line="240" w:lineRule="auto"/>
              <w:ind w:firstLine="1200" w:firstLineChars="800"/>
              <w:rPr>
                <w:rFonts w:hint="eastAsia" w:ascii="宋体" w:hAnsi="宋体" w:cs="宋体"/>
                <w:sz w:val="15"/>
                <w:szCs w:val="15"/>
              </w:rPr>
            </w:pPr>
            <w:r>
              <w:rPr>
                <w:rFonts w:ascii="宋体" w:hAnsi="宋体" w:cs="宋体"/>
                <w:sz w:val="15"/>
                <w:szCs w:val="15"/>
              </w:rPr>
              <w:t>AI加速器</w:t>
            </w:r>
          </w:p>
        </w:tc>
        <w:tc>
          <w:tcPr>
            <w:tcW w:w="5093" w:type="dxa"/>
            <w:vAlign w:val="center"/>
          </w:tcPr>
          <w:p w14:paraId="5AC64E90">
            <w:pPr>
              <w:widowControl w:val="0"/>
              <w:spacing w:line="240" w:lineRule="auto"/>
              <w:ind w:firstLine="300"/>
              <w:jc w:val="center"/>
              <w:rPr>
                <w:rFonts w:hint="eastAsia" w:ascii="宋体" w:hAnsi="宋体" w:cs="宋体"/>
                <w:sz w:val="15"/>
                <w:szCs w:val="15"/>
              </w:rPr>
            </w:pPr>
            <w:r>
              <w:rPr>
                <w:rFonts w:ascii="宋体" w:hAnsi="宋体" w:cs="宋体"/>
                <w:sz w:val="15"/>
                <w:szCs w:val="15"/>
              </w:rPr>
              <w:t>双 NPU | 神经处理单元</w:t>
            </w:r>
          </w:p>
        </w:tc>
      </w:tr>
      <w:tr w14:paraId="7CF52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4" w:type="dxa"/>
            <w:vAlign w:val="center"/>
          </w:tcPr>
          <w:p w14:paraId="4665EE79">
            <w:pPr>
              <w:widowControl/>
              <w:spacing w:line="240" w:lineRule="auto"/>
              <w:ind w:firstLine="1200" w:firstLineChars="800"/>
              <w:rPr>
                <w:rFonts w:hint="eastAsia" w:ascii="宋体" w:hAnsi="宋体" w:cs="宋体"/>
                <w:sz w:val="15"/>
                <w:szCs w:val="15"/>
              </w:rPr>
            </w:pPr>
            <w:r>
              <w:rPr>
                <w:rFonts w:hint="eastAsia" w:ascii="宋体" w:hAnsi="宋体" w:cs="宋体"/>
                <w:sz w:val="15"/>
                <w:szCs w:val="15"/>
              </w:rPr>
              <w:t>内存</w:t>
            </w:r>
          </w:p>
        </w:tc>
        <w:tc>
          <w:tcPr>
            <w:tcW w:w="5093" w:type="dxa"/>
            <w:vAlign w:val="center"/>
          </w:tcPr>
          <w:p w14:paraId="2802ABDD">
            <w:pPr>
              <w:widowControl w:val="0"/>
              <w:spacing w:line="240" w:lineRule="auto"/>
              <w:ind w:firstLine="300"/>
              <w:jc w:val="center"/>
              <w:rPr>
                <w:rFonts w:hint="eastAsia" w:ascii="宋体" w:hAnsi="宋体" w:cs="宋体"/>
                <w:sz w:val="15"/>
                <w:szCs w:val="15"/>
              </w:rPr>
            </w:pPr>
            <w:r>
              <w:rPr>
                <w:rFonts w:ascii="宋体" w:hAnsi="宋体" w:cs="宋体"/>
                <w:sz w:val="15"/>
                <w:szCs w:val="15"/>
              </w:rPr>
              <w:t>RAM | 8GB DDR4</w:t>
            </w:r>
          </w:p>
        </w:tc>
      </w:tr>
      <w:tr w14:paraId="1313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4" w:type="dxa"/>
            <w:vAlign w:val="center"/>
          </w:tcPr>
          <w:p w14:paraId="048A909C">
            <w:pPr>
              <w:widowControl/>
              <w:spacing w:line="240" w:lineRule="auto"/>
              <w:ind w:firstLine="1350" w:firstLineChars="900"/>
              <w:rPr>
                <w:rFonts w:hint="eastAsia" w:ascii="宋体" w:hAnsi="宋体" w:cs="宋体"/>
                <w:sz w:val="15"/>
                <w:szCs w:val="15"/>
              </w:rPr>
            </w:pPr>
            <w:r>
              <w:rPr>
                <w:rFonts w:hint="eastAsia" w:ascii="宋体" w:hAnsi="宋体" w:cs="宋体"/>
                <w:sz w:val="15"/>
                <w:szCs w:val="15"/>
              </w:rPr>
              <w:t>存储</w:t>
            </w:r>
          </w:p>
        </w:tc>
        <w:tc>
          <w:tcPr>
            <w:tcW w:w="5093" w:type="dxa"/>
            <w:vAlign w:val="center"/>
          </w:tcPr>
          <w:p w14:paraId="67ED1067">
            <w:pPr>
              <w:widowControl w:val="0"/>
              <w:spacing w:line="240" w:lineRule="auto"/>
              <w:ind w:firstLine="300"/>
              <w:jc w:val="center"/>
              <w:rPr>
                <w:rFonts w:hint="eastAsia" w:ascii="宋体" w:hAnsi="宋体" w:cs="宋体"/>
                <w:sz w:val="15"/>
                <w:szCs w:val="15"/>
              </w:rPr>
            </w:pPr>
            <w:r>
              <w:rPr>
                <w:rFonts w:ascii="宋体" w:hAnsi="宋体" w:cs="宋体"/>
                <w:sz w:val="15"/>
                <w:szCs w:val="15"/>
              </w:rPr>
              <w:t>eMMC | 128GB</w:t>
            </w:r>
          </w:p>
        </w:tc>
      </w:tr>
      <w:tr w14:paraId="6198D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4" w:type="dxa"/>
            <w:vAlign w:val="center"/>
          </w:tcPr>
          <w:p w14:paraId="09191188">
            <w:pPr>
              <w:widowControl/>
              <w:spacing w:line="240" w:lineRule="auto"/>
              <w:ind w:firstLine="1050" w:firstLineChars="700"/>
              <w:rPr>
                <w:rFonts w:hint="eastAsia" w:ascii="宋体" w:hAnsi="宋体" w:cs="宋体"/>
                <w:sz w:val="15"/>
                <w:szCs w:val="15"/>
              </w:rPr>
            </w:pPr>
            <w:r>
              <w:rPr>
                <w:rFonts w:hint="eastAsia" w:ascii="宋体" w:hAnsi="宋体" w:cs="宋体"/>
                <w:sz w:val="15"/>
                <w:szCs w:val="15"/>
              </w:rPr>
              <w:t>视频编解码能力</w:t>
            </w:r>
          </w:p>
        </w:tc>
        <w:tc>
          <w:tcPr>
            <w:tcW w:w="5093" w:type="dxa"/>
            <w:vAlign w:val="center"/>
          </w:tcPr>
          <w:p w14:paraId="0E8FEE2B">
            <w:pPr>
              <w:widowControl w:val="0"/>
              <w:spacing w:line="240" w:lineRule="auto"/>
              <w:ind w:firstLine="300"/>
              <w:jc w:val="center"/>
              <w:rPr>
                <w:rFonts w:hint="eastAsia" w:ascii="宋体" w:hAnsi="宋体" w:cs="宋体"/>
                <w:sz w:val="15"/>
                <w:szCs w:val="15"/>
              </w:rPr>
            </w:pPr>
            <w:r>
              <w:rPr>
                <w:rFonts w:ascii="宋体" w:hAnsi="宋体" w:cs="宋体"/>
                <w:sz w:val="15"/>
                <w:szCs w:val="15"/>
              </w:rPr>
              <w:t>硬件编解码器 | H.264/H.265</w:t>
            </w:r>
          </w:p>
        </w:tc>
      </w:tr>
      <w:tr w14:paraId="0BD57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4" w:type="dxa"/>
            <w:vAlign w:val="center"/>
          </w:tcPr>
          <w:p w14:paraId="28F8F94F">
            <w:pPr>
              <w:widowControl/>
              <w:spacing w:line="240" w:lineRule="auto"/>
              <w:ind w:firstLine="1200" w:firstLineChars="800"/>
              <w:rPr>
                <w:rFonts w:hint="eastAsia" w:ascii="宋体" w:hAnsi="宋体" w:cs="宋体"/>
                <w:sz w:val="15"/>
                <w:szCs w:val="15"/>
              </w:rPr>
            </w:pPr>
            <w:r>
              <w:rPr>
                <w:rFonts w:hint="eastAsia" w:ascii="宋体" w:hAnsi="宋体" w:cs="宋体"/>
                <w:sz w:val="15"/>
                <w:szCs w:val="15"/>
              </w:rPr>
              <w:t>外设接口</w:t>
            </w:r>
          </w:p>
        </w:tc>
        <w:tc>
          <w:tcPr>
            <w:tcW w:w="5093" w:type="dxa"/>
            <w:vAlign w:val="center"/>
          </w:tcPr>
          <w:p w14:paraId="7826960C">
            <w:pPr>
              <w:widowControl/>
              <w:spacing w:line="240" w:lineRule="auto"/>
              <w:ind w:firstLine="300"/>
              <w:jc w:val="center"/>
              <w:rPr>
                <w:rFonts w:hint="eastAsia" w:ascii="宋体" w:hAnsi="宋体" w:cs="宋体"/>
                <w:sz w:val="15"/>
                <w:szCs w:val="15"/>
              </w:rPr>
            </w:pPr>
            <w:r>
              <w:rPr>
                <w:rFonts w:hint="eastAsia" w:ascii="宋体" w:hAnsi="宋体" w:cs="宋体"/>
                <w:sz w:val="15"/>
                <w:szCs w:val="15"/>
              </w:rPr>
              <w:t>LAN千兆网口、HDMI、USB3.0接口：各2个</w:t>
            </w:r>
          </w:p>
          <w:p w14:paraId="02436D36">
            <w:pPr>
              <w:widowControl/>
              <w:spacing w:line="240" w:lineRule="auto"/>
              <w:ind w:firstLine="300"/>
              <w:jc w:val="center"/>
              <w:rPr>
                <w:rFonts w:ascii="宋体" w:hAnsi="宋体" w:cs="宋体"/>
                <w:sz w:val="15"/>
                <w:szCs w:val="15"/>
              </w:rPr>
            </w:pPr>
            <w:r>
              <w:rPr>
                <w:rFonts w:hint="eastAsia" w:ascii="宋体" w:hAnsi="宋体" w:cs="宋体"/>
                <w:sz w:val="15"/>
                <w:szCs w:val="15"/>
              </w:rPr>
              <w:t>eSATA、RS-232、VGA、AUDIO IN\OUT接口：各1个</w:t>
            </w:r>
          </w:p>
          <w:p w14:paraId="7F352E1B">
            <w:pPr>
              <w:widowControl/>
              <w:spacing w:line="240" w:lineRule="auto"/>
              <w:ind w:firstLine="300"/>
              <w:jc w:val="center"/>
              <w:rPr>
                <w:rFonts w:hint="eastAsia" w:ascii="宋体" w:hAnsi="宋体" w:cs="宋体"/>
                <w:sz w:val="15"/>
                <w:szCs w:val="15"/>
              </w:rPr>
            </w:pPr>
            <w:r>
              <w:rPr>
                <w:rFonts w:hint="eastAsia" w:ascii="宋体" w:hAnsi="宋体" w:cs="宋体"/>
                <w:sz w:val="15"/>
                <w:szCs w:val="15"/>
              </w:rPr>
              <w:t>RS-485接口ALARM IN\ALARM OUT：各2个</w:t>
            </w:r>
          </w:p>
          <w:p w14:paraId="26C3CF99">
            <w:pPr>
              <w:widowControl/>
              <w:spacing w:line="240" w:lineRule="auto"/>
              <w:ind w:firstLine="300"/>
              <w:jc w:val="center"/>
              <w:rPr>
                <w:rFonts w:hint="eastAsia" w:ascii="宋体" w:hAnsi="宋体" w:cs="宋体"/>
                <w:sz w:val="15"/>
                <w:szCs w:val="15"/>
              </w:rPr>
            </w:pPr>
            <w:r>
              <w:rPr>
                <w:rFonts w:hint="eastAsia" w:ascii="宋体" w:hAnsi="宋体" w:cs="宋体"/>
                <w:sz w:val="15"/>
                <w:szCs w:val="15"/>
              </w:rPr>
              <w:t>风扇接口：1个</w:t>
            </w:r>
          </w:p>
        </w:tc>
      </w:tr>
      <w:tr w14:paraId="46C38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4" w:type="dxa"/>
            <w:vAlign w:val="center"/>
          </w:tcPr>
          <w:p w14:paraId="678A6967">
            <w:pPr>
              <w:widowControl/>
              <w:spacing w:line="240" w:lineRule="auto"/>
              <w:ind w:firstLine="1350" w:firstLineChars="900"/>
              <w:rPr>
                <w:rFonts w:hint="eastAsia" w:ascii="宋体" w:hAnsi="宋体" w:cs="宋体"/>
                <w:sz w:val="15"/>
                <w:szCs w:val="15"/>
              </w:rPr>
            </w:pPr>
            <w:r>
              <w:rPr>
                <w:rFonts w:hint="eastAsia" w:ascii="宋体" w:hAnsi="宋体" w:cs="宋体"/>
                <w:sz w:val="15"/>
                <w:szCs w:val="15"/>
              </w:rPr>
              <w:t>功耗</w:t>
            </w:r>
          </w:p>
        </w:tc>
        <w:tc>
          <w:tcPr>
            <w:tcW w:w="5093" w:type="dxa"/>
            <w:vAlign w:val="center"/>
          </w:tcPr>
          <w:p w14:paraId="36B1127B">
            <w:pPr>
              <w:widowControl/>
              <w:spacing w:line="240" w:lineRule="auto"/>
              <w:ind w:firstLine="300"/>
              <w:jc w:val="center"/>
              <w:rPr>
                <w:rFonts w:hint="eastAsia" w:ascii="宋体" w:hAnsi="宋体" w:cs="宋体"/>
                <w:sz w:val="15"/>
                <w:szCs w:val="15"/>
              </w:rPr>
            </w:pPr>
            <w:r>
              <w:rPr>
                <w:rFonts w:hint="eastAsia" w:ascii="宋体" w:hAnsi="宋体" w:cs="宋体"/>
                <w:sz w:val="15"/>
                <w:szCs w:val="15"/>
              </w:rPr>
              <w:t>工作电压：12V</w:t>
            </w:r>
          </w:p>
          <w:p w14:paraId="4172749B">
            <w:pPr>
              <w:widowControl/>
              <w:spacing w:line="240" w:lineRule="auto"/>
              <w:ind w:firstLine="300"/>
              <w:jc w:val="center"/>
              <w:rPr>
                <w:rFonts w:hint="eastAsia" w:ascii="宋体" w:hAnsi="宋体" w:cs="宋体"/>
                <w:sz w:val="15"/>
                <w:szCs w:val="15"/>
              </w:rPr>
            </w:pPr>
            <w:r>
              <w:rPr>
                <w:rFonts w:hint="eastAsia" w:ascii="宋体" w:hAnsi="宋体" w:cs="宋体"/>
                <w:sz w:val="15"/>
                <w:szCs w:val="15"/>
              </w:rPr>
              <w:t>典型功耗：50W</w:t>
            </w:r>
          </w:p>
        </w:tc>
      </w:tr>
      <w:tr w14:paraId="60236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4" w:type="dxa"/>
            <w:vAlign w:val="center"/>
          </w:tcPr>
          <w:p w14:paraId="09BB1439">
            <w:pPr>
              <w:widowControl/>
              <w:spacing w:line="240" w:lineRule="auto"/>
              <w:ind w:firstLine="600" w:firstLineChars="400"/>
              <w:rPr>
                <w:rFonts w:hint="eastAsia" w:ascii="宋体" w:hAnsi="宋体" w:cs="宋体"/>
                <w:sz w:val="15"/>
                <w:szCs w:val="15"/>
              </w:rPr>
            </w:pPr>
            <w:r>
              <w:rPr>
                <w:rFonts w:hint="eastAsia" w:ascii="宋体" w:hAnsi="宋体" w:cs="宋体"/>
                <w:sz w:val="15"/>
                <w:szCs w:val="15"/>
              </w:rPr>
              <w:t>结构尺寸（长x宽x高）</w:t>
            </w:r>
          </w:p>
        </w:tc>
        <w:tc>
          <w:tcPr>
            <w:tcW w:w="5093" w:type="dxa"/>
            <w:vAlign w:val="center"/>
          </w:tcPr>
          <w:p w14:paraId="5031BACB">
            <w:pPr>
              <w:widowControl/>
              <w:spacing w:line="240" w:lineRule="auto"/>
              <w:ind w:firstLine="300"/>
              <w:jc w:val="center"/>
              <w:rPr>
                <w:rFonts w:hint="eastAsia" w:ascii="宋体" w:hAnsi="宋体" w:cs="宋体"/>
                <w:sz w:val="15"/>
                <w:szCs w:val="15"/>
              </w:rPr>
            </w:pPr>
            <w:r>
              <w:rPr>
                <w:rFonts w:hint="eastAsia" w:ascii="宋体" w:hAnsi="宋体" w:cs="宋体"/>
                <w:sz w:val="15"/>
                <w:szCs w:val="15"/>
              </w:rPr>
              <w:t>139mm x 136mm x 46mm</w:t>
            </w:r>
          </w:p>
        </w:tc>
      </w:tr>
      <w:tr w14:paraId="328AB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4" w:type="dxa"/>
            <w:vAlign w:val="center"/>
          </w:tcPr>
          <w:p w14:paraId="479CAAC7">
            <w:pPr>
              <w:widowControl w:val="0"/>
              <w:spacing w:line="240" w:lineRule="auto"/>
              <w:ind w:firstLine="1050" w:firstLineChars="700"/>
              <w:rPr>
                <w:rFonts w:hint="eastAsia" w:ascii="宋体" w:hAnsi="宋体" w:cs="宋体"/>
                <w:sz w:val="15"/>
                <w:szCs w:val="15"/>
              </w:rPr>
            </w:pPr>
            <w:r>
              <w:rPr>
                <w:rFonts w:ascii="宋体" w:hAnsi="宋体" w:cs="宋体"/>
                <w:sz w:val="15"/>
                <w:szCs w:val="15"/>
              </w:rPr>
              <w:t>工作温度</w:t>
            </w:r>
          </w:p>
        </w:tc>
        <w:tc>
          <w:tcPr>
            <w:tcW w:w="5093" w:type="dxa"/>
            <w:vAlign w:val="center"/>
          </w:tcPr>
          <w:p w14:paraId="2D24BEA1">
            <w:pPr>
              <w:widowControl w:val="0"/>
              <w:spacing w:line="240" w:lineRule="auto"/>
              <w:ind w:firstLine="300"/>
              <w:jc w:val="center"/>
              <w:rPr>
                <w:rFonts w:hint="eastAsia" w:ascii="宋体" w:hAnsi="宋体" w:cs="宋体"/>
                <w:sz w:val="15"/>
                <w:szCs w:val="15"/>
              </w:rPr>
            </w:pPr>
            <w:r>
              <w:rPr>
                <w:rFonts w:ascii="宋体" w:hAnsi="宋体" w:cs="宋体"/>
                <w:sz w:val="15"/>
                <w:szCs w:val="15"/>
              </w:rPr>
              <w:t>-10</w:t>
            </w:r>
            <w:r>
              <w:rPr>
                <w:rFonts w:hint="eastAsia" w:ascii="宋体" w:hAnsi="宋体" w:cs="宋体"/>
                <w:sz w:val="15"/>
                <w:szCs w:val="15"/>
              </w:rPr>
              <w:t xml:space="preserve"> - </w:t>
            </w:r>
            <w:r>
              <w:rPr>
                <w:rFonts w:ascii="宋体" w:hAnsi="宋体" w:cs="宋体"/>
                <w:sz w:val="15"/>
                <w:szCs w:val="15"/>
              </w:rPr>
              <w:t>45°C</w:t>
            </w:r>
          </w:p>
        </w:tc>
      </w:tr>
    </w:tbl>
    <w:p w14:paraId="469D5E79">
      <w:pPr>
        <w:spacing w:line="400" w:lineRule="exact"/>
        <w:jc w:val="center"/>
        <w:rPr>
          <w:rFonts w:hint="eastAsia" w:ascii="宋体" w:hAnsi="宋体" w:cs="宋体"/>
          <w:shd w:val="clear" w:color="auto" w:fill="FFFFFF"/>
        </w:rPr>
      </w:pPr>
      <w:bookmarkStart w:id="5" w:name="_Toc4533"/>
      <w:r>
        <w:rPr>
          <w:rFonts w:hint="eastAsia" w:ascii="宋体" w:hAnsi="宋体" w:cs="宋体"/>
          <w:shd w:val="clear" w:color="auto" w:fill="FFFFFF"/>
        </w:rPr>
        <w:t>表3-2 本系统整体</w:t>
      </w:r>
      <w:r>
        <w:rPr>
          <w:rFonts w:hint="eastAsia" w:ascii="宋体" w:hAnsi="宋体" w:cs="宋体"/>
        </w:rPr>
        <w:t>硬件清单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740"/>
        <w:gridCol w:w="2149"/>
        <w:gridCol w:w="2149"/>
      </w:tblGrid>
      <w:tr w14:paraId="1DAFE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570D995">
            <w:pPr>
              <w:widowControl/>
              <w:spacing w:before="100" w:beforeAutospacing="1" w:line="240" w:lineRule="auto"/>
              <w:ind w:firstLine="750" w:firstLineChars="500"/>
              <w:rPr>
                <w:rFonts w:hint="eastAsia" w:ascii="宋体" w:hAnsi="宋体" w:cs="宋体"/>
                <w:sz w:val="15"/>
                <w:szCs w:val="15"/>
              </w:rPr>
            </w:pPr>
            <w:r>
              <w:rPr>
                <w:rFonts w:hint="eastAsia" w:ascii="宋体" w:hAnsi="宋体" w:cs="宋体"/>
                <w:sz w:val="15"/>
                <w:szCs w:val="15"/>
              </w:rPr>
              <w:t>设备名称</w:t>
            </w:r>
          </w:p>
        </w:tc>
        <w:tc>
          <w:tcPr>
            <w:tcW w:w="1740" w:type="dxa"/>
            <w:vAlign w:val="center"/>
          </w:tcPr>
          <w:p w14:paraId="4B8A88D6">
            <w:pPr>
              <w:widowControl/>
              <w:spacing w:before="100" w:beforeAutospacing="1" w:line="240" w:lineRule="auto"/>
              <w:ind w:firstLine="600" w:firstLineChars="400"/>
              <w:rPr>
                <w:rFonts w:hint="eastAsia" w:ascii="宋体" w:hAnsi="宋体" w:cs="宋体"/>
                <w:sz w:val="15"/>
                <w:szCs w:val="15"/>
              </w:rPr>
            </w:pPr>
            <w:r>
              <w:rPr>
                <w:rFonts w:hint="eastAsia" w:ascii="宋体" w:hAnsi="宋体" w:cs="宋体"/>
                <w:sz w:val="15"/>
                <w:szCs w:val="15"/>
              </w:rPr>
              <w:t>数量</w:t>
            </w:r>
          </w:p>
        </w:tc>
        <w:tc>
          <w:tcPr>
            <w:tcW w:w="2149" w:type="dxa"/>
            <w:vAlign w:val="center"/>
          </w:tcPr>
          <w:p w14:paraId="7DCE4B42">
            <w:pPr>
              <w:widowControl w:val="0"/>
              <w:spacing w:before="100" w:beforeAutospacing="1" w:line="240" w:lineRule="auto"/>
              <w:ind w:firstLine="900" w:firstLineChars="600"/>
              <w:rPr>
                <w:rFonts w:hint="eastAsia" w:ascii="宋体" w:hAnsi="宋体" w:cs="宋体"/>
                <w:sz w:val="15"/>
                <w:szCs w:val="15"/>
              </w:rPr>
            </w:pPr>
            <w:r>
              <w:rPr>
                <w:rFonts w:hint="eastAsia" w:ascii="宋体" w:hAnsi="宋体" w:cs="宋体"/>
                <w:sz w:val="15"/>
                <w:szCs w:val="15"/>
              </w:rPr>
              <w:t>型号</w:t>
            </w:r>
          </w:p>
        </w:tc>
        <w:tc>
          <w:tcPr>
            <w:tcW w:w="2149" w:type="dxa"/>
            <w:vAlign w:val="center"/>
          </w:tcPr>
          <w:p w14:paraId="04C5A5AF">
            <w:pPr>
              <w:widowControl w:val="0"/>
              <w:spacing w:before="100" w:beforeAutospacing="1" w:line="240" w:lineRule="auto"/>
              <w:ind w:firstLine="750" w:firstLineChars="500"/>
              <w:rPr>
                <w:rFonts w:hint="eastAsia" w:ascii="宋体" w:hAnsi="宋体" w:cs="宋体"/>
                <w:sz w:val="15"/>
                <w:szCs w:val="15"/>
              </w:rPr>
            </w:pPr>
            <w:r>
              <w:rPr>
                <w:rFonts w:hint="eastAsia" w:ascii="宋体" w:hAnsi="宋体" w:cs="宋体"/>
                <w:sz w:val="15"/>
                <w:szCs w:val="15"/>
              </w:rPr>
              <w:t>备注</w:t>
            </w:r>
          </w:p>
        </w:tc>
      </w:tr>
      <w:tr w14:paraId="03D04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061CEFD">
            <w:pPr>
              <w:widowControl w:val="0"/>
              <w:spacing w:line="240" w:lineRule="auto"/>
              <w:ind w:firstLine="300"/>
              <w:rPr>
                <w:rFonts w:hint="eastAsia" w:ascii="宋体" w:hAnsi="宋体" w:cs="宋体"/>
                <w:sz w:val="15"/>
                <w:szCs w:val="15"/>
              </w:rPr>
            </w:pPr>
            <w:r>
              <w:rPr>
                <w:rFonts w:hint="eastAsia" w:ascii="宋体" w:hAnsi="宋体" w:cs="宋体"/>
                <w:sz w:val="15"/>
                <w:szCs w:val="15"/>
              </w:rPr>
              <w:t>海康超脑边缘计算盒子</w:t>
            </w:r>
          </w:p>
        </w:tc>
        <w:tc>
          <w:tcPr>
            <w:tcW w:w="1740" w:type="dxa"/>
            <w:vAlign w:val="center"/>
          </w:tcPr>
          <w:p w14:paraId="03C47FA8">
            <w:pPr>
              <w:widowControl/>
              <w:spacing w:line="240" w:lineRule="auto"/>
              <w:ind w:firstLine="600" w:firstLineChars="400"/>
              <w:rPr>
                <w:rFonts w:hint="eastAsia" w:ascii="宋体" w:hAnsi="宋体" w:cs="宋体"/>
                <w:sz w:val="15"/>
                <w:szCs w:val="15"/>
              </w:rPr>
            </w:pPr>
            <w:r>
              <w:rPr>
                <w:rFonts w:hint="eastAsia" w:ascii="宋体" w:hAnsi="宋体" w:cs="宋体"/>
                <w:sz w:val="15"/>
                <w:szCs w:val="15"/>
              </w:rPr>
              <w:t>1台</w:t>
            </w:r>
          </w:p>
        </w:tc>
        <w:tc>
          <w:tcPr>
            <w:tcW w:w="2149" w:type="dxa"/>
            <w:vAlign w:val="center"/>
          </w:tcPr>
          <w:p w14:paraId="159490A7">
            <w:pPr>
              <w:widowControl w:val="0"/>
              <w:spacing w:line="240" w:lineRule="auto"/>
              <w:ind w:firstLine="150" w:firstLineChars="100"/>
              <w:rPr>
                <w:rFonts w:hint="eastAsia" w:ascii="宋体" w:hAnsi="宋体" w:cs="宋体"/>
                <w:sz w:val="15"/>
                <w:szCs w:val="15"/>
              </w:rPr>
            </w:pPr>
            <w:r>
              <w:rPr>
                <w:rFonts w:ascii="宋体" w:hAnsi="宋体" w:cs="宋体"/>
                <w:sz w:val="15"/>
                <w:szCs w:val="15"/>
              </w:rPr>
              <w:t>iDS-6702NX-I/OP-B-C10</w:t>
            </w:r>
          </w:p>
        </w:tc>
        <w:tc>
          <w:tcPr>
            <w:tcW w:w="2149" w:type="dxa"/>
            <w:vAlign w:val="center"/>
          </w:tcPr>
          <w:p w14:paraId="267EE0CA">
            <w:pPr>
              <w:widowControl w:val="0"/>
              <w:spacing w:line="240" w:lineRule="auto"/>
              <w:ind w:firstLine="600" w:firstLineChars="400"/>
              <w:rPr>
                <w:rFonts w:hint="eastAsia" w:ascii="宋体" w:hAnsi="宋体" w:cs="宋体"/>
                <w:sz w:val="15"/>
                <w:szCs w:val="15"/>
              </w:rPr>
            </w:pPr>
            <w:r>
              <w:rPr>
                <w:rFonts w:ascii="宋体" w:hAnsi="宋体" w:cs="宋体"/>
                <w:sz w:val="15"/>
                <w:szCs w:val="15"/>
              </w:rPr>
              <w:t>边缘计算</w:t>
            </w:r>
          </w:p>
        </w:tc>
      </w:tr>
      <w:tr w14:paraId="60C3A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2BB73B4">
            <w:pPr>
              <w:widowControl w:val="0"/>
              <w:spacing w:line="240" w:lineRule="auto"/>
              <w:ind w:firstLine="450" w:firstLineChars="300"/>
              <w:rPr>
                <w:rFonts w:hint="eastAsia" w:ascii="宋体" w:hAnsi="宋体" w:cs="宋体"/>
                <w:sz w:val="15"/>
                <w:szCs w:val="15"/>
              </w:rPr>
            </w:pPr>
            <w:r>
              <w:rPr>
                <w:rFonts w:hint="eastAsia" w:ascii="宋体" w:hAnsi="宋体" w:cs="宋体"/>
                <w:sz w:val="15"/>
                <w:szCs w:val="15"/>
              </w:rPr>
              <w:t>热成像网络摄像机</w:t>
            </w:r>
          </w:p>
        </w:tc>
        <w:tc>
          <w:tcPr>
            <w:tcW w:w="1740" w:type="dxa"/>
            <w:vAlign w:val="center"/>
          </w:tcPr>
          <w:p w14:paraId="084916FA">
            <w:pPr>
              <w:widowControl/>
              <w:spacing w:line="240" w:lineRule="auto"/>
              <w:ind w:firstLine="600" w:firstLineChars="400"/>
              <w:rPr>
                <w:rFonts w:hint="eastAsia" w:ascii="宋体" w:hAnsi="宋体" w:cs="宋体"/>
                <w:sz w:val="15"/>
                <w:szCs w:val="15"/>
              </w:rPr>
            </w:pPr>
            <w:r>
              <w:rPr>
                <w:rFonts w:hint="eastAsia" w:ascii="宋体" w:hAnsi="宋体" w:cs="宋体"/>
                <w:sz w:val="15"/>
                <w:szCs w:val="15"/>
              </w:rPr>
              <w:t>1台</w:t>
            </w:r>
          </w:p>
        </w:tc>
        <w:tc>
          <w:tcPr>
            <w:tcW w:w="2149" w:type="dxa"/>
            <w:vAlign w:val="center"/>
          </w:tcPr>
          <w:p w14:paraId="68C18E06">
            <w:pPr>
              <w:widowControl w:val="0"/>
              <w:spacing w:line="240" w:lineRule="auto"/>
              <w:ind w:firstLine="450" w:firstLineChars="300"/>
              <w:rPr>
                <w:rFonts w:hint="eastAsia" w:ascii="宋体" w:hAnsi="宋体" w:cs="宋体"/>
                <w:sz w:val="15"/>
                <w:szCs w:val="15"/>
              </w:rPr>
            </w:pPr>
            <w:r>
              <w:rPr>
                <w:rFonts w:hint="eastAsia" w:ascii="宋体" w:hAnsi="宋体" w:cs="宋体"/>
                <w:sz w:val="15"/>
                <w:szCs w:val="15"/>
              </w:rPr>
              <w:t>HM-TD2617-6/QA</w:t>
            </w:r>
          </w:p>
        </w:tc>
        <w:tc>
          <w:tcPr>
            <w:tcW w:w="2149" w:type="dxa"/>
            <w:vAlign w:val="center"/>
          </w:tcPr>
          <w:p w14:paraId="10236B51">
            <w:pPr>
              <w:widowControl w:val="0"/>
              <w:spacing w:line="240" w:lineRule="auto"/>
              <w:ind w:firstLine="450" w:firstLineChars="300"/>
              <w:rPr>
                <w:rFonts w:hint="eastAsia" w:ascii="宋体" w:hAnsi="宋体" w:cs="宋体"/>
                <w:sz w:val="15"/>
                <w:szCs w:val="15"/>
              </w:rPr>
            </w:pPr>
            <w:r>
              <w:rPr>
                <w:rFonts w:ascii="宋体" w:hAnsi="宋体" w:cs="宋体"/>
                <w:sz w:val="15"/>
                <w:szCs w:val="15"/>
              </w:rPr>
              <w:t>视频输入源</w:t>
            </w:r>
          </w:p>
        </w:tc>
      </w:tr>
      <w:tr w14:paraId="4D18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B7D6058">
            <w:pPr>
              <w:widowControl/>
              <w:spacing w:line="240" w:lineRule="auto"/>
              <w:ind w:firstLine="750" w:firstLineChars="500"/>
              <w:rPr>
                <w:rFonts w:hint="eastAsia" w:ascii="宋体" w:hAnsi="宋体" w:cs="宋体"/>
                <w:sz w:val="15"/>
                <w:szCs w:val="15"/>
              </w:rPr>
            </w:pPr>
            <w:r>
              <w:rPr>
                <w:rFonts w:hint="eastAsia" w:ascii="宋体" w:hAnsi="宋体" w:cs="宋体"/>
                <w:sz w:val="15"/>
                <w:szCs w:val="15"/>
              </w:rPr>
              <w:t>PC主机</w:t>
            </w:r>
          </w:p>
        </w:tc>
        <w:tc>
          <w:tcPr>
            <w:tcW w:w="1740" w:type="dxa"/>
            <w:vAlign w:val="center"/>
          </w:tcPr>
          <w:p w14:paraId="6AC4567D">
            <w:pPr>
              <w:widowControl/>
              <w:spacing w:line="240" w:lineRule="auto"/>
              <w:ind w:firstLine="600" w:firstLineChars="400"/>
              <w:rPr>
                <w:rFonts w:hint="eastAsia" w:ascii="宋体" w:hAnsi="宋体" w:cs="宋体"/>
                <w:sz w:val="15"/>
                <w:szCs w:val="15"/>
              </w:rPr>
            </w:pPr>
            <w:r>
              <w:rPr>
                <w:rFonts w:hint="eastAsia" w:ascii="宋体" w:hAnsi="宋体" w:cs="宋体"/>
                <w:sz w:val="15"/>
                <w:szCs w:val="15"/>
              </w:rPr>
              <w:t>1台</w:t>
            </w:r>
          </w:p>
        </w:tc>
        <w:tc>
          <w:tcPr>
            <w:tcW w:w="2149" w:type="dxa"/>
            <w:vAlign w:val="center"/>
          </w:tcPr>
          <w:p w14:paraId="2EDD1FE2">
            <w:pPr>
              <w:widowControl w:val="0"/>
              <w:spacing w:line="240" w:lineRule="auto"/>
              <w:ind w:firstLine="300"/>
              <w:jc w:val="center"/>
              <w:rPr>
                <w:rFonts w:hint="eastAsia" w:ascii="宋体" w:hAnsi="宋体" w:cs="宋体"/>
                <w:sz w:val="15"/>
                <w:szCs w:val="15"/>
              </w:rPr>
            </w:pPr>
          </w:p>
        </w:tc>
        <w:tc>
          <w:tcPr>
            <w:tcW w:w="2149" w:type="dxa"/>
            <w:vAlign w:val="center"/>
          </w:tcPr>
          <w:p w14:paraId="1D94A325">
            <w:pPr>
              <w:widowControl w:val="0"/>
              <w:spacing w:line="240" w:lineRule="auto"/>
              <w:ind w:firstLine="600" w:firstLineChars="400"/>
              <w:rPr>
                <w:rFonts w:hint="eastAsia" w:ascii="宋体" w:hAnsi="宋体" w:cs="宋体"/>
                <w:sz w:val="15"/>
                <w:szCs w:val="15"/>
              </w:rPr>
            </w:pPr>
            <w:r>
              <w:rPr>
                <w:rFonts w:ascii="宋体" w:hAnsi="宋体" w:cs="宋体"/>
                <w:sz w:val="15"/>
                <w:szCs w:val="15"/>
              </w:rPr>
              <w:t>智能</w:t>
            </w:r>
            <w:r>
              <w:rPr>
                <w:rFonts w:hint="eastAsia" w:ascii="宋体" w:hAnsi="宋体" w:cs="宋体"/>
                <w:sz w:val="15"/>
                <w:szCs w:val="15"/>
              </w:rPr>
              <w:t>中枢</w:t>
            </w:r>
          </w:p>
        </w:tc>
      </w:tr>
      <w:tr w14:paraId="3EB0C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647AE04">
            <w:pPr>
              <w:widowControl/>
              <w:spacing w:line="240" w:lineRule="auto"/>
              <w:ind w:firstLine="750" w:firstLineChars="500"/>
              <w:rPr>
                <w:rFonts w:hint="eastAsia" w:ascii="宋体" w:hAnsi="宋体" w:cs="宋体"/>
                <w:sz w:val="15"/>
                <w:szCs w:val="15"/>
              </w:rPr>
            </w:pPr>
            <w:r>
              <w:rPr>
                <w:rFonts w:hint="eastAsia" w:ascii="宋体" w:hAnsi="宋体" w:cs="宋体"/>
                <w:sz w:val="15"/>
                <w:szCs w:val="15"/>
              </w:rPr>
              <w:t>交换机</w:t>
            </w:r>
          </w:p>
        </w:tc>
        <w:tc>
          <w:tcPr>
            <w:tcW w:w="1740" w:type="dxa"/>
            <w:vAlign w:val="center"/>
          </w:tcPr>
          <w:p w14:paraId="5690D613">
            <w:pPr>
              <w:widowControl/>
              <w:spacing w:line="240" w:lineRule="auto"/>
              <w:ind w:firstLine="600" w:firstLineChars="400"/>
              <w:rPr>
                <w:rFonts w:hint="eastAsia" w:ascii="宋体" w:hAnsi="宋体" w:cs="宋体"/>
                <w:sz w:val="15"/>
                <w:szCs w:val="15"/>
              </w:rPr>
            </w:pPr>
            <w:r>
              <w:rPr>
                <w:rFonts w:hint="eastAsia" w:ascii="宋体" w:hAnsi="宋体" w:cs="宋体"/>
                <w:sz w:val="15"/>
                <w:szCs w:val="15"/>
              </w:rPr>
              <w:t>1个</w:t>
            </w:r>
          </w:p>
        </w:tc>
        <w:tc>
          <w:tcPr>
            <w:tcW w:w="2149" w:type="dxa"/>
            <w:vAlign w:val="center"/>
          </w:tcPr>
          <w:p w14:paraId="7D7637BE">
            <w:pPr>
              <w:widowControl w:val="0"/>
              <w:spacing w:line="240" w:lineRule="auto"/>
              <w:ind w:firstLine="300"/>
              <w:jc w:val="center"/>
              <w:rPr>
                <w:rFonts w:hint="eastAsia" w:ascii="宋体" w:hAnsi="宋体" w:cs="宋体"/>
                <w:sz w:val="15"/>
                <w:szCs w:val="15"/>
              </w:rPr>
            </w:pPr>
            <w:r>
              <w:rPr>
                <w:rFonts w:hint="eastAsia" w:ascii="宋体" w:hAnsi="宋体" w:cs="宋体"/>
                <w:sz w:val="15"/>
                <w:szCs w:val="15"/>
              </w:rPr>
              <w:t>CM834</w:t>
            </w:r>
          </w:p>
        </w:tc>
        <w:tc>
          <w:tcPr>
            <w:tcW w:w="2149" w:type="dxa"/>
            <w:vAlign w:val="center"/>
          </w:tcPr>
          <w:p w14:paraId="2DBDEA79">
            <w:pPr>
              <w:widowControl w:val="0"/>
              <w:spacing w:line="240" w:lineRule="auto"/>
              <w:ind w:firstLine="450" w:firstLineChars="300"/>
              <w:rPr>
                <w:rFonts w:hint="eastAsia" w:ascii="宋体" w:hAnsi="宋体" w:cs="宋体"/>
                <w:sz w:val="15"/>
                <w:szCs w:val="15"/>
              </w:rPr>
            </w:pPr>
            <w:r>
              <w:rPr>
                <w:rFonts w:ascii="宋体" w:hAnsi="宋体" w:cs="宋体"/>
                <w:sz w:val="15"/>
                <w:szCs w:val="15"/>
              </w:rPr>
              <w:t>局域网连接</w:t>
            </w:r>
          </w:p>
        </w:tc>
      </w:tr>
      <w:tr w14:paraId="678A7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9BF707B">
            <w:pPr>
              <w:widowControl/>
              <w:spacing w:line="240" w:lineRule="auto"/>
              <w:ind w:firstLine="900" w:firstLineChars="600"/>
              <w:rPr>
                <w:rFonts w:hint="eastAsia" w:ascii="宋体" w:hAnsi="宋体" w:cs="宋体"/>
                <w:sz w:val="15"/>
                <w:szCs w:val="15"/>
              </w:rPr>
            </w:pPr>
            <w:r>
              <w:rPr>
                <w:rFonts w:hint="eastAsia" w:ascii="宋体" w:hAnsi="宋体" w:cs="宋体"/>
                <w:sz w:val="15"/>
                <w:szCs w:val="15"/>
              </w:rPr>
              <w:t>网线</w:t>
            </w:r>
          </w:p>
        </w:tc>
        <w:tc>
          <w:tcPr>
            <w:tcW w:w="1740" w:type="dxa"/>
            <w:vAlign w:val="center"/>
          </w:tcPr>
          <w:p w14:paraId="166D4DED">
            <w:pPr>
              <w:widowControl/>
              <w:spacing w:line="240" w:lineRule="auto"/>
              <w:ind w:firstLine="300"/>
              <w:jc w:val="center"/>
              <w:rPr>
                <w:rFonts w:hint="eastAsia" w:ascii="宋体" w:hAnsi="宋体" w:cs="宋体"/>
                <w:sz w:val="15"/>
                <w:szCs w:val="15"/>
              </w:rPr>
            </w:pPr>
            <w:r>
              <w:rPr>
                <w:rFonts w:hint="eastAsia" w:ascii="宋体" w:hAnsi="宋体" w:cs="宋体"/>
                <w:sz w:val="15"/>
                <w:szCs w:val="15"/>
              </w:rPr>
              <w:t>3根</w:t>
            </w:r>
          </w:p>
        </w:tc>
        <w:tc>
          <w:tcPr>
            <w:tcW w:w="2149" w:type="dxa"/>
            <w:vAlign w:val="center"/>
          </w:tcPr>
          <w:p w14:paraId="7E749027">
            <w:pPr>
              <w:widowControl w:val="0"/>
              <w:spacing w:line="240" w:lineRule="auto"/>
              <w:ind w:firstLine="750" w:firstLineChars="500"/>
              <w:rPr>
                <w:rFonts w:hint="eastAsia" w:ascii="宋体" w:hAnsi="宋体" w:cs="宋体"/>
                <w:sz w:val="15"/>
                <w:szCs w:val="15"/>
              </w:rPr>
            </w:pPr>
            <w:r>
              <w:rPr>
                <w:rFonts w:hint="eastAsia" w:ascii="宋体" w:hAnsi="宋体" w:cs="宋体"/>
                <w:sz w:val="15"/>
                <w:szCs w:val="15"/>
              </w:rPr>
              <w:t>NW102</w:t>
            </w:r>
          </w:p>
        </w:tc>
        <w:tc>
          <w:tcPr>
            <w:tcW w:w="2149" w:type="dxa"/>
            <w:vAlign w:val="center"/>
          </w:tcPr>
          <w:p w14:paraId="5946FA41">
            <w:pPr>
              <w:widowControl w:val="0"/>
              <w:spacing w:line="240" w:lineRule="auto"/>
              <w:ind w:firstLine="750" w:firstLineChars="500"/>
              <w:rPr>
                <w:rFonts w:hint="eastAsia" w:ascii="宋体" w:hAnsi="宋体" w:cs="宋体"/>
                <w:sz w:val="15"/>
                <w:szCs w:val="15"/>
              </w:rPr>
            </w:pPr>
            <w:r>
              <w:rPr>
                <w:rFonts w:ascii="宋体" w:hAnsi="宋体" w:cs="宋体"/>
                <w:sz w:val="15"/>
                <w:szCs w:val="15"/>
              </w:rPr>
              <w:t>网络布线</w:t>
            </w:r>
          </w:p>
        </w:tc>
      </w:tr>
    </w:tbl>
    <w:p w14:paraId="26221697">
      <w:pPr>
        <w:spacing w:line="400" w:lineRule="exact"/>
        <w:ind w:firstLine="420" w:firstLineChars="0"/>
      </w:pPr>
      <w:r>
        <w:t>本章从系统工作原理、硬件选型、设备规格和网络拓扑四个层面阐述了"端边云协同"三层架构的硬件基础。在边缘端，海康超脑盒子凭借双NPU芯片与HIKStream推理框架，在200ms内完成</w:t>
      </w:r>
      <w:r>
        <w:rPr>
          <w:rFonts w:hint="eastAsia"/>
        </w:rPr>
        <w:t>多</w:t>
      </w:r>
      <w:r>
        <w:t xml:space="preserve">类目标的YOLO实时检测，并通过容器化环境支持模型部署与事件规则的自定义配置；在中枢端，本地PC依托RTX </w:t>
      </w:r>
      <w:r>
        <w:rPr>
          <w:rFonts w:hint="eastAsia"/>
        </w:rPr>
        <w:t>4</w:t>
      </w:r>
      <w:r>
        <w:t>0</w:t>
      </w:r>
      <w:r>
        <w:rPr>
          <w:rFonts w:hint="eastAsia"/>
        </w:rPr>
        <w:t>90</w:t>
      </w:r>
      <w:r>
        <w:t xml:space="preserve"> GPU实现Qwen2.5-VL 7B多模态大模型的离线推理</w:t>
      </w:r>
      <w:r>
        <w:rPr>
          <w:rFonts w:hint="eastAsia"/>
        </w:rPr>
        <w:t>及多层Agent智能调度</w:t>
      </w:r>
      <w:r>
        <w:t>，保障工业数据不出内网；在展示端，</w:t>
      </w:r>
      <w:r>
        <w:rPr>
          <w:rFonts w:hint="eastAsia"/>
        </w:rPr>
        <w:t>在展示端，浏览器依托WebGL硬件加速实现Three.js全息数字孪生场景的实时渲染，在复杂场景下维持在48fps以上</w:t>
      </w:r>
      <w:r>
        <w:t>。三台设备通过千兆局域网实现RTSP推流、HTTP报警上报与WebSocket双向通信的全链路联通，总硬件成本约1</w:t>
      </w:r>
      <w:r>
        <w:rPr>
          <w:rFonts w:hint="eastAsia"/>
        </w:rPr>
        <w:t>6</w:t>
      </w:r>
      <w:r>
        <w:t>000元，在性能与成本间取得了良好的工程平衡，为后续软件层的多智能体</w:t>
      </w:r>
      <w:r>
        <w:rPr>
          <w:rFonts w:hint="eastAsia"/>
        </w:rPr>
        <w:t>Agent</w:t>
      </w:r>
      <w:r>
        <w:t>系统部署提供了可靠的算力底座。</w:t>
      </w:r>
    </w:p>
    <w:p w14:paraId="17E16356">
      <w:pPr>
        <w:rPr>
          <w:rFonts w:hint="eastAsia"/>
        </w:rPr>
      </w:pPr>
      <w:r>
        <w:br w:type="page"/>
      </w:r>
      <w:bookmarkEnd w:id="5"/>
      <w:bookmarkStart w:id="6" w:name="_Toc1195"/>
    </w:p>
    <w:p w14:paraId="7C25BB2C">
      <w:pPr>
        <w:spacing w:line="400" w:lineRule="exact"/>
        <w:ind w:firstLine="0" w:firstLineChars="0"/>
        <w:outlineLvl w:val="0"/>
        <w:rPr>
          <w:rFonts w:hint="eastAsia" w:ascii="黑体" w:hAnsi="黑体" w:eastAsia="黑体"/>
          <w:sz w:val="36"/>
          <w:szCs w:val="36"/>
          <w:shd w:val="clear" w:color="auto" w:fill="FFFFFF"/>
        </w:rPr>
      </w:pPr>
      <w:bookmarkStart w:id="7" w:name="_Toc232502449"/>
      <w:r>
        <w:rPr>
          <w:rFonts w:hint="eastAsia" w:ascii="黑体" w:hAnsi="黑体" w:eastAsia="黑体"/>
          <w:sz w:val="36"/>
          <w:szCs w:val="36"/>
          <w:shd w:val="clear" w:color="auto" w:fill="FFFFFF"/>
        </w:rPr>
        <w:t>第4章 软件设计流程与创新</w:t>
      </w:r>
      <w:bookmarkEnd w:id="6"/>
      <w:bookmarkEnd w:id="7"/>
    </w:p>
    <w:p w14:paraId="1AA7A190">
      <w:pPr>
        <w:spacing w:line="400" w:lineRule="exact"/>
        <w:ind w:firstLine="0" w:firstLineChars="0"/>
        <w:outlineLvl w:val="1"/>
        <w:rPr>
          <w:rFonts w:hint="eastAsia" w:ascii="黑体" w:hAnsi="黑体" w:eastAsia="黑体"/>
          <w:sz w:val="30"/>
          <w:szCs w:val="30"/>
          <w:shd w:val="clear" w:color="auto" w:fill="FFFFFF"/>
        </w:rPr>
      </w:pPr>
      <w:bookmarkStart w:id="8" w:name="_Toc232502450"/>
      <w:bookmarkStart w:id="9" w:name="_Toc16433"/>
      <w:r>
        <w:rPr>
          <w:rFonts w:ascii="黑体" w:hAnsi="黑体" w:eastAsia="黑体"/>
          <w:sz w:val="30"/>
          <w:szCs w:val="30"/>
          <w:shd w:val="clear" w:color="auto" w:fill="FFFFFF"/>
        </w:rPr>
        <w:t>4.1 系统软件总体架构</w:t>
      </w:r>
      <w:r>
        <w:rPr>
          <w:rFonts w:hint="eastAsia" w:ascii="黑体" w:hAnsi="黑体" w:eastAsia="黑体"/>
          <w:sz w:val="30"/>
          <w:szCs w:val="30"/>
          <w:shd w:val="clear" w:color="auto" w:fill="FFFFFF"/>
        </w:rPr>
        <w:t>设计</w:t>
      </w:r>
      <w:bookmarkEnd w:id="8"/>
    </w:p>
    <w:p w14:paraId="20010785">
      <w:pPr>
        <w:spacing w:line="400" w:lineRule="exact"/>
        <w:ind w:firstLine="420" w:firstLineChars="0"/>
        <w:rPr>
          <w:rFonts w:hint="eastAsia" w:ascii="宋体" w:hAnsi="宋体" w:cs="宋体"/>
        </w:rPr>
      </w:pPr>
      <w:r>
        <w:rPr>
          <w:rFonts w:ascii="宋体" w:hAnsi="宋体" w:cs="宋体"/>
        </w:rPr>
        <w:drawing>
          <wp:anchor distT="0" distB="0" distL="114300" distR="114300" simplePos="0" relativeHeight="251662336" behindDoc="0" locked="0" layoutInCell="1" allowOverlap="1">
            <wp:simplePos x="0" y="0"/>
            <wp:positionH relativeFrom="margin">
              <wp:posOffset>15240</wp:posOffset>
            </wp:positionH>
            <wp:positionV relativeFrom="paragraph">
              <wp:posOffset>2037715</wp:posOffset>
            </wp:positionV>
            <wp:extent cx="5269230" cy="3417570"/>
            <wp:effectExtent l="0" t="0" r="3810" b="11430"/>
            <wp:wrapTopAndBottom/>
            <wp:docPr id="879159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59400" name="图片 1"/>
                    <pic:cNvPicPr>
                      <a:picLocks noChangeAspect="1"/>
                    </pic:cNvPicPr>
                  </pic:nvPicPr>
                  <pic:blipFill>
                    <a:blip r:embed="rId9" cstate="print">
                      <a:extLst>
                        <a:ext uri="{28A0092B-C50C-407E-A947-70E740481C1C}">
                          <a14:useLocalDpi xmlns:a14="http://schemas.microsoft.com/office/drawing/2010/main" val="0"/>
                        </a:ext>
                      </a:extLst>
                    </a:blip>
                    <a:srcRect l="94"/>
                    <a:stretch>
                      <a:fillRect/>
                    </a:stretch>
                  </pic:blipFill>
                  <pic:spPr>
                    <a:xfrm>
                      <a:off x="0" y="0"/>
                      <a:ext cx="5269230" cy="3417570"/>
                    </a:xfrm>
                    <a:prstGeom prst="rect">
                      <a:avLst/>
                    </a:prstGeom>
                    <a:ln>
                      <a:noFill/>
                    </a:ln>
                  </pic:spPr>
                </pic:pic>
              </a:graphicData>
            </a:graphic>
          </wp:anchor>
        </w:drawing>
      </w:r>
      <w:r>
        <w:rPr>
          <w:rFonts w:ascii="宋体" w:hAnsi="宋体" w:cs="宋体"/>
        </w:rPr>
        <w:t>系统软件按"边缘推理→中枢智能→展示交互"三层部署，各层通过明确的网络协议解耦。边缘端运行HIKStream推理管线，完成YOLO实时检测与事件过滤后，以HTTP协议将报警数据推至中枢端；中枢端以Python异步框架构建三层智能体管线——感知智能体解析检测数据并生成标准化事件、安全智能体结合历史记忆调用Qwen2.5-VL多模态大模型进行深度分析、调度智能体基于规则引擎自主调用数据库存储、钉钉告警、报告生成、人机协同审批四类工具；展示端通过WebSocket长连接接收实时推送，驱动Three.js全息数字孪生场景的同步更新。系统软件整体架构如图4-1所示。</w:t>
      </w:r>
    </w:p>
    <w:bookmarkEnd w:id="9"/>
    <w:p w14:paraId="3B0F2BDD">
      <w:pPr>
        <w:spacing w:line="400" w:lineRule="exact"/>
        <w:ind w:firstLine="0" w:firstLineChars="0"/>
        <w:outlineLvl w:val="1"/>
        <w:rPr>
          <w:rFonts w:ascii="黑体" w:hAnsi="黑体" w:eastAsia="黑体"/>
          <w:sz w:val="30"/>
          <w:szCs w:val="30"/>
          <w:shd w:val="clear" w:color="auto" w:fill="FFFFFF"/>
        </w:rPr>
      </w:pPr>
      <w:bookmarkStart w:id="10" w:name="_Toc232502451"/>
      <w:r>
        <w:rPr>
          <w:rFonts w:ascii="黑体" w:hAnsi="黑体" w:eastAsia="黑体"/>
          <w:sz w:val="30"/>
          <w:szCs w:val="30"/>
          <w:shd w:val="clear" w:color="auto" w:fill="FFFFFF"/>
        </w:rPr>
        <w:t>4.</w:t>
      </w:r>
      <w:r>
        <w:rPr>
          <w:rFonts w:hint="eastAsia" w:ascii="黑体" w:hAnsi="黑体" w:eastAsia="黑体"/>
          <w:sz w:val="30"/>
          <w:szCs w:val="30"/>
          <w:shd w:val="clear" w:color="auto" w:fill="FFFFFF"/>
        </w:rPr>
        <w:t>2</w:t>
      </w:r>
      <w:r>
        <w:rPr>
          <w:rFonts w:ascii="黑体" w:hAnsi="黑体" w:eastAsia="黑体"/>
          <w:sz w:val="30"/>
          <w:szCs w:val="30"/>
          <w:shd w:val="clear" w:color="auto" w:fill="FFFFFF"/>
        </w:rPr>
        <w:t xml:space="preserve"> 边缘端推理管线设计</w:t>
      </w:r>
      <w:bookmarkEnd w:id="10"/>
    </w:p>
    <w:p w14:paraId="44A53573">
      <w:r>
        <w:t>边缘端的核心软件组件是海康HIKStream推理框架，它以9插件链的形式组织视频流的全流程处理：数据源插件拉取摄像头RTSP码流，解码插件调用硬件解码器将视频解为原始图像帧，推理插件将帧数据送入双NPU执行YOLO模型推理，输出人员、安全帽、反光背心、火焰、车辆、头部等6类目标的检测框与置信度。检测结果分两路传递——画框叠加插件在原图上叠加目标框与标签用于可视化，事件过滤插件根据自定义事件规则进行异常判断。事件规则部署在盒子容器内的事件规则处理文件中，通过修改事件规则处理函数可灵活定义"何种检测组合构成违规"的逻辑，例如"检测到人员但未检测到安全帽即生成未戴安全帽事件"，无需改动推理主流程即可适配不同场景的违规定义。最终，JSON格式的报警元数据含设备编号、目标类别、置信度、边界框坐标等信息，与JPEG截图经HTTP协议以复合表单格式上报中枢PC的5000端口报警接收端点。</w:t>
      </w:r>
    </w:p>
    <w:p w14:paraId="7FB0FBB8">
      <w:pPr>
        <w:spacing w:line="400" w:lineRule="exact"/>
        <w:ind w:firstLine="0" w:firstLineChars="0"/>
        <w:outlineLvl w:val="2"/>
        <w:rPr>
          <w:rFonts w:hint="eastAsia" w:ascii="黑体" w:hAnsi="黑体" w:eastAsia="黑体"/>
          <w:sz w:val="30"/>
          <w:szCs w:val="30"/>
          <w:shd w:val="clear" w:color="auto" w:fill="FFFFFF"/>
        </w:rPr>
      </w:pPr>
      <w:r>
        <w:rPr>
          <w:rFonts w:ascii="黑体" w:hAnsi="黑体" w:eastAsia="黑体"/>
          <w:sz w:val="30"/>
          <w:szCs w:val="30"/>
          <w:shd w:val="clear" w:color="auto" w:fill="FFFFFF"/>
        </w:rPr>
        <w:t>4.</w:t>
      </w:r>
      <w:r>
        <w:rPr>
          <w:rFonts w:hint="eastAsia" w:ascii="黑体" w:hAnsi="黑体" w:eastAsia="黑体"/>
          <w:sz w:val="30"/>
          <w:szCs w:val="30"/>
          <w:shd w:val="clear" w:color="auto" w:fill="FFFFFF"/>
        </w:rPr>
        <w:t>2</w:t>
      </w:r>
      <w:r>
        <w:rPr>
          <w:rFonts w:ascii="黑体" w:hAnsi="黑体" w:eastAsia="黑体"/>
          <w:sz w:val="30"/>
          <w:szCs w:val="30"/>
          <w:shd w:val="clear" w:color="auto" w:fill="FFFFFF"/>
        </w:rPr>
        <w:t>.1</w:t>
      </w:r>
      <w:r>
        <w:rPr>
          <w:rFonts w:hint="eastAsia" w:ascii="黑体" w:hAnsi="黑体" w:eastAsia="黑体"/>
          <w:sz w:val="30"/>
          <w:szCs w:val="30"/>
          <w:shd w:val="clear" w:color="auto" w:fill="FFFFFF"/>
        </w:rPr>
        <w:t>后端IP及端口配置</w:t>
      </w:r>
    </w:p>
    <w:p w14:paraId="0F506666">
      <w:pPr>
        <w:rPr>
          <w:rFonts w:hint="eastAsia"/>
        </w:rPr>
      </w:pPr>
      <w:r>
        <w:rPr>
          <w:rFonts w:hint="eastAsia"/>
        </w:rPr>
        <w:t>更改电脑IP为手动，并将IP地址设置为10.53.4.81，子网掩码设置为255.255.255.0，保证电脑IP与边缘计算盒子在同一个网段下；之后进行web、ssh、jupyterlab、rtsp取流端口配置如图：</w:t>
      </w:r>
      <w:r>
        <w:drawing>
          <wp:anchor distT="0" distB="0" distL="114300" distR="114300" simplePos="0" relativeHeight="251670528" behindDoc="0" locked="0" layoutInCell="1" allowOverlap="1">
            <wp:simplePos x="0" y="0"/>
            <wp:positionH relativeFrom="column">
              <wp:posOffset>3175</wp:posOffset>
            </wp:positionH>
            <wp:positionV relativeFrom="paragraph">
              <wp:posOffset>817880</wp:posOffset>
            </wp:positionV>
            <wp:extent cx="5274310" cy="2807970"/>
            <wp:effectExtent l="0" t="0" r="13970" b="11430"/>
            <wp:wrapTopAndBottom/>
            <wp:docPr id="2049892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92536"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807970"/>
                    </a:xfrm>
                    <a:prstGeom prst="rect">
                      <a:avLst/>
                    </a:prstGeom>
                  </pic:spPr>
                </pic:pic>
              </a:graphicData>
            </a:graphic>
          </wp:anchor>
        </w:drawing>
      </w:r>
    </w:p>
    <w:p w14:paraId="4B96E237">
      <w:pPr>
        <w:spacing w:line="400" w:lineRule="exact"/>
        <w:ind w:firstLine="0" w:firstLineChars="0"/>
        <w:outlineLvl w:val="2"/>
        <w:rPr>
          <w:rFonts w:ascii="黑体" w:hAnsi="黑体" w:eastAsia="黑体"/>
          <w:sz w:val="30"/>
          <w:szCs w:val="30"/>
          <w:shd w:val="clear" w:color="auto" w:fill="FFFFFF"/>
        </w:rPr>
      </w:pPr>
      <w:bookmarkStart w:id="11" w:name="_Toc232502452"/>
      <w:r>
        <w:rPr>
          <w:rFonts w:ascii="黑体" w:hAnsi="黑体" w:eastAsia="黑体"/>
          <w:sz w:val="30"/>
          <w:szCs w:val="30"/>
          <w:shd w:val="clear" w:color="auto" w:fill="FFFFFF"/>
        </w:rPr>
        <w:t>4.</w:t>
      </w:r>
      <w:r>
        <w:rPr>
          <w:rFonts w:hint="eastAsia" w:ascii="黑体" w:hAnsi="黑体" w:eastAsia="黑体"/>
          <w:sz w:val="30"/>
          <w:szCs w:val="30"/>
          <w:shd w:val="clear" w:color="auto" w:fill="FFFFFF"/>
        </w:rPr>
        <w:t>2</w:t>
      </w:r>
      <w:r>
        <w:rPr>
          <w:rFonts w:ascii="黑体" w:hAnsi="黑体" w:eastAsia="黑体"/>
          <w:sz w:val="30"/>
          <w:szCs w:val="30"/>
          <w:shd w:val="clear" w:color="auto" w:fill="FFFFFF"/>
        </w:rPr>
        <w:t>.</w:t>
      </w:r>
      <w:r>
        <w:rPr>
          <w:rFonts w:hint="eastAsia" w:ascii="黑体" w:hAnsi="黑体" w:eastAsia="黑体"/>
          <w:sz w:val="30"/>
          <w:szCs w:val="30"/>
          <w:shd w:val="clear" w:color="auto" w:fill="FFFFFF"/>
        </w:rPr>
        <w:t>2 模型转化及web界面demo测试</w:t>
      </w:r>
    </w:p>
    <w:p w14:paraId="796FA842">
      <w:pPr>
        <w:rPr>
          <w:shd w:val="clear" w:color="auto" w:fill="FFFFFF"/>
        </w:rPr>
      </w:pPr>
      <w:r>
        <w:drawing>
          <wp:anchor distT="0" distB="0" distL="114300" distR="114300" simplePos="0" relativeHeight="251671552" behindDoc="0" locked="0" layoutInCell="1" allowOverlap="1">
            <wp:simplePos x="0" y="0"/>
            <wp:positionH relativeFrom="margin">
              <wp:align>center</wp:align>
            </wp:positionH>
            <wp:positionV relativeFrom="paragraph">
              <wp:posOffset>800100</wp:posOffset>
            </wp:positionV>
            <wp:extent cx="2962910" cy="3035300"/>
            <wp:effectExtent l="0" t="0" r="8890" b="12700"/>
            <wp:wrapTopAndBottom/>
            <wp:docPr id="475472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72925"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2910" cy="3035300"/>
                    </a:xfrm>
                    <a:prstGeom prst="rect">
                      <a:avLst/>
                    </a:prstGeom>
                  </pic:spPr>
                </pic:pic>
              </a:graphicData>
            </a:graphic>
          </wp:anchor>
        </w:drawing>
      </w:r>
      <w:r>
        <w:rPr>
          <w:rFonts w:hint="eastAsia"/>
          <w:shd w:val="clear" w:color="auto" w:fill="FFFFFF"/>
        </w:rPr>
        <w:t xml:space="preserve">  将数据集进行数据增强后利用yolo模型进行训练，将训练后的pt格式文件转化为onnx格式模型，并转化为边缘盒子适配的hsbin格式，转化配置文档如下：</w:t>
      </w:r>
    </w:p>
    <w:p w14:paraId="1C496877">
      <w:pPr>
        <w:rPr>
          <w:rFonts w:hint="eastAsia"/>
          <w:shd w:val="clear" w:color="auto" w:fill="FFFFFF"/>
        </w:rPr>
      </w:pPr>
      <w:r>
        <w:rPr>
          <w:rFonts w:hint="eastAsia"/>
          <w:shd w:val="clear" w:color="auto" w:fill="FFFFFF"/>
        </w:rPr>
        <w:t>将转化后的模型导入边缘盒子内置jupyter镜像，进行前期模型效果测试，测试效果如图，可见模型精度表现优秀，可进行后续开发。</w:t>
      </w:r>
      <w:r>
        <w:drawing>
          <wp:anchor distT="0" distB="0" distL="114300" distR="114300" simplePos="0" relativeHeight="251672576" behindDoc="0" locked="0" layoutInCell="1" allowOverlap="1">
            <wp:simplePos x="0" y="0"/>
            <wp:positionH relativeFrom="column">
              <wp:posOffset>3175</wp:posOffset>
            </wp:positionH>
            <wp:positionV relativeFrom="paragraph">
              <wp:posOffset>545465</wp:posOffset>
            </wp:positionV>
            <wp:extent cx="5274310" cy="3044825"/>
            <wp:effectExtent l="0" t="0" r="13970" b="3175"/>
            <wp:wrapTopAndBottom/>
            <wp:docPr id="911160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60530" name="图片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044825"/>
                    </a:xfrm>
                    <a:prstGeom prst="rect">
                      <a:avLst/>
                    </a:prstGeom>
                  </pic:spPr>
                </pic:pic>
              </a:graphicData>
            </a:graphic>
          </wp:anchor>
        </w:drawing>
      </w:r>
    </w:p>
    <w:p w14:paraId="31383BE7">
      <w:pPr>
        <w:spacing w:line="400" w:lineRule="exact"/>
        <w:ind w:firstLine="0" w:firstLineChars="0"/>
        <w:outlineLvl w:val="1"/>
        <w:rPr>
          <w:rFonts w:ascii="黑体" w:hAnsi="黑体" w:eastAsia="黑体"/>
          <w:sz w:val="30"/>
          <w:szCs w:val="30"/>
          <w:shd w:val="clear" w:color="auto" w:fill="FFFFFF"/>
        </w:rPr>
      </w:pPr>
    </w:p>
    <w:p w14:paraId="555EE170">
      <w:pPr>
        <w:spacing w:line="400" w:lineRule="exact"/>
        <w:ind w:firstLine="0" w:firstLineChars="0"/>
        <w:outlineLvl w:val="2"/>
        <w:rPr>
          <w:rFonts w:hint="eastAsia" w:ascii="黑体" w:hAnsi="黑体" w:eastAsia="黑体"/>
          <w:sz w:val="30"/>
          <w:szCs w:val="30"/>
          <w:shd w:val="clear" w:color="auto" w:fill="FFFFFF"/>
        </w:rPr>
      </w:pPr>
      <w:r>
        <w:rPr>
          <w:rFonts w:ascii="黑体" w:hAnsi="黑体" w:eastAsia="黑体"/>
          <w:sz w:val="30"/>
          <w:szCs w:val="30"/>
          <w:shd w:val="clear" w:color="auto" w:fill="FFFFFF"/>
        </w:rPr>
        <w:t>4.</w:t>
      </w:r>
      <w:r>
        <w:rPr>
          <w:rFonts w:hint="eastAsia" w:ascii="黑体" w:hAnsi="黑体" w:eastAsia="黑体"/>
          <w:sz w:val="30"/>
          <w:szCs w:val="30"/>
          <w:shd w:val="clear" w:color="auto" w:fill="FFFFFF"/>
        </w:rPr>
        <w:t>2</w:t>
      </w:r>
      <w:r>
        <w:rPr>
          <w:rFonts w:ascii="黑体" w:hAnsi="黑体" w:eastAsia="黑体"/>
          <w:sz w:val="30"/>
          <w:szCs w:val="30"/>
          <w:shd w:val="clear" w:color="auto" w:fill="FFFFFF"/>
        </w:rPr>
        <w:t>.</w:t>
      </w:r>
      <w:r>
        <w:rPr>
          <w:rFonts w:hint="eastAsia" w:ascii="黑体" w:hAnsi="黑体" w:eastAsia="黑体"/>
          <w:sz w:val="30"/>
          <w:szCs w:val="30"/>
          <w:shd w:val="clear" w:color="auto" w:fill="FFFFFF"/>
        </w:rPr>
        <w:t>3 开发事件规则过滤与OSD叠加</w:t>
      </w:r>
    </w:p>
    <w:p w14:paraId="03F2A72E">
      <w:pPr>
        <w:rPr>
          <w:shd w:val="clear" w:color="auto" w:fill="FFFFFF"/>
        </w:rPr>
      </w:pPr>
      <w:r>
        <w:drawing>
          <wp:anchor distT="0" distB="0" distL="114300" distR="114300" simplePos="0" relativeHeight="251673600" behindDoc="0" locked="0" layoutInCell="1" allowOverlap="1">
            <wp:simplePos x="0" y="0"/>
            <wp:positionH relativeFrom="column">
              <wp:posOffset>303530</wp:posOffset>
            </wp:positionH>
            <wp:positionV relativeFrom="paragraph">
              <wp:posOffset>790575</wp:posOffset>
            </wp:positionV>
            <wp:extent cx="4419600" cy="3911600"/>
            <wp:effectExtent l="0" t="0" r="0" b="5080"/>
            <wp:wrapTopAndBottom/>
            <wp:docPr id="1556675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75386" name="图片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419600" cy="3911600"/>
                    </a:xfrm>
                    <a:prstGeom prst="rect">
                      <a:avLst/>
                    </a:prstGeom>
                  </pic:spPr>
                </pic:pic>
              </a:graphicData>
            </a:graphic>
          </wp:anchor>
        </w:drawing>
      </w:r>
      <w:r>
        <w:rPr>
          <w:rFonts w:hint="eastAsia"/>
          <w:shd w:val="clear" w:color="auto" w:fill="FFFFFF"/>
        </w:rPr>
        <w:t>进入到边缘盒子内置jupyter镜像中，添加事件规则，将目标检测后的信息进行算法规则过滤，输出具有不规范异常行为的检测信息，事件规则修改示例如图：</w:t>
      </w:r>
    </w:p>
    <w:p w14:paraId="75599BD4">
      <w:pPr>
        <w:rPr>
          <w:shd w:val="clear" w:color="auto" w:fill="FFFFFF"/>
        </w:rPr>
      </w:pPr>
      <w:r>
        <w:drawing>
          <wp:anchor distT="0" distB="0" distL="114300" distR="114300" simplePos="0" relativeHeight="251674624" behindDoc="0" locked="0" layoutInCell="1" allowOverlap="1">
            <wp:simplePos x="0" y="0"/>
            <wp:positionH relativeFrom="margin">
              <wp:align>left</wp:align>
            </wp:positionH>
            <wp:positionV relativeFrom="paragraph">
              <wp:posOffset>490855</wp:posOffset>
            </wp:positionV>
            <wp:extent cx="5274310" cy="354330"/>
            <wp:effectExtent l="0" t="0" r="13970" b="11430"/>
            <wp:wrapTopAndBottom/>
            <wp:docPr id="1092651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51257"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34849" cy="358915"/>
                    </a:xfrm>
                    <a:prstGeom prst="rect">
                      <a:avLst/>
                    </a:prstGeom>
                  </pic:spPr>
                </pic:pic>
              </a:graphicData>
            </a:graphic>
          </wp:anchor>
        </w:drawing>
      </w:r>
      <w:r>
        <w:rPr>
          <w:rFonts w:hint="eastAsia"/>
          <w:shd w:val="clear" w:color="auto" w:fill="FFFFFF"/>
        </w:rPr>
        <w:t>对检测输出后的不规范异常行为目标，进行OSD叠加，OSD叠加示例如图，在画面右下角叠加红色报警内容，效果如图。</w:t>
      </w:r>
    </w:p>
    <w:p w14:paraId="7B5DBCAF">
      <w:pPr>
        <w:jc w:val="center"/>
        <w:rPr>
          <w:rFonts w:hint="eastAsia"/>
          <w:shd w:val="clear" w:color="auto" w:fill="FFFFFF"/>
        </w:rPr>
      </w:pPr>
      <w:r>
        <w:drawing>
          <wp:anchor distT="0" distB="0" distL="114300" distR="114300" simplePos="0" relativeHeight="251675648" behindDoc="0" locked="0" layoutInCell="1" allowOverlap="1">
            <wp:simplePos x="0" y="0"/>
            <wp:positionH relativeFrom="margin">
              <wp:align>left</wp:align>
            </wp:positionH>
            <wp:positionV relativeFrom="paragraph">
              <wp:posOffset>710565</wp:posOffset>
            </wp:positionV>
            <wp:extent cx="5274310" cy="2969260"/>
            <wp:effectExtent l="0" t="0" r="13970" b="2540"/>
            <wp:wrapTopAndBottom/>
            <wp:docPr id="1598825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25025"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74310" cy="2969260"/>
                    </a:xfrm>
                    <a:prstGeom prst="rect">
                      <a:avLst/>
                    </a:prstGeom>
                    <a:noFill/>
                    <a:ln>
                      <a:noFill/>
                    </a:ln>
                  </pic:spPr>
                </pic:pic>
              </a:graphicData>
            </a:graphic>
          </wp:anchor>
        </w:drawing>
      </w:r>
      <w:r>
        <w:rPr>
          <w:rFonts w:hint="eastAsia"/>
          <w:shd w:val="clear" w:color="auto" w:fill="FFFFFF"/>
        </w:rPr>
        <w:t>图OSD叠加示例图</w:t>
      </w:r>
    </w:p>
    <w:p w14:paraId="310E2F69">
      <w:pPr>
        <w:jc w:val="center"/>
        <w:rPr>
          <w:rFonts w:hint="eastAsia"/>
          <w:shd w:val="clear" w:color="auto" w:fill="FFFFFF"/>
        </w:rPr>
      </w:pPr>
      <w:r>
        <w:rPr>
          <w:rFonts w:hint="eastAsia"/>
          <w:shd w:val="clear" w:color="auto" w:fill="FFFFFF"/>
        </w:rPr>
        <w:t>图 OSD叠加效果图</w:t>
      </w:r>
    </w:p>
    <w:p w14:paraId="20F1D41B">
      <w:pPr>
        <w:spacing w:line="400" w:lineRule="exact"/>
        <w:ind w:firstLine="0" w:firstLineChars="0"/>
        <w:outlineLvl w:val="1"/>
        <w:rPr>
          <w:rFonts w:ascii="黑体" w:hAnsi="黑体" w:eastAsia="黑体"/>
          <w:sz w:val="30"/>
          <w:szCs w:val="30"/>
          <w:shd w:val="clear" w:color="auto" w:fill="FFFFFF"/>
        </w:rPr>
      </w:pPr>
      <w:r>
        <w:rPr>
          <w:rFonts w:ascii="黑体" w:hAnsi="黑体" w:eastAsia="黑体"/>
          <w:sz w:val="30"/>
          <w:szCs w:val="30"/>
          <w:shd w:val="clear" w:color="auto" w:fill="FFFFFF"/>
        </w:rPr>
        <w:t>4.</w:t>
      </w:r>
      <w:r>
        <w:rPr>
          <w:rFonts w:hint="eastAsia" w:ascii="黑体" w:hAnsi="黑体" w:eastAsia="黑体"/>
          <w:sz w:val="30"/>
          <w:szCs w:val="30"/>
          <w:shd w:val="clear" w:color="auto" w:fill="FFFFFF"/>
        </w:rPr>
        <w:t>3</w:t>
      </w:r>
      <w:r>
        <w:rPr>
          <w:rFonts w:ascii="黑体" w:hAnsi="黑体" w:eastAsia="黑体"/>
          <w:sz w:val="30"/>
          <w:szCs w:val="30"/>
          <w:shd w:val="clear" w:color="auto" w:fill="FFFFFF"/>
        </w:rPr>
        <w:t xml:space="preserve"> 多</w:t>
      </w:r>
      <w:r>
        <w:rPr>
          <w:rFonts w:hint="eastAsia" w:ascii="黑体" w:hAnsi="黑体" w:eastAsia="黑体"/>
          <w:sz w:val="30"/>
          <w:szCs w:val="30"/>
          <w:shd w:val="clear" w:color="auto" w:fill="FFFFFF"/>
        </w:rPr>
        <w:t>Agent</w:t>
      </w:r>
      <w:r>
        <w:rPr>
          <w:rFonts w:ascii="黑体" w:hAnsi="黑体" w:eastAsia="黑体"/>
          <w:sz w:val="30"/>
          <w:szCs w:val="30"/>
          <w:shd w:val="clear" w:color="auto" w:fill="FFFFFF"/>
        </w:rPr>
        <w:t>智能体协同决策系统</w:t>
      </w:r>
      <w:r>
        <w:rPr>
          <w:rFonts w:hint="eastAsia" w:ascii="黑体" w:hAnsi="黑体" w:eastAsia="黑体"/>
          <w:sz w:val="30"/>
          <w:szCs w:val="30"/>
          <w:shd w:val="clear" w:color="auto" w:fill="FFFFFF"/>
        </w:rPr>
        <w:t>设计</w:t>
      </w:r>
      <w:bookmarkEnd w:id="11"/>
    </w:p>
    <w:p w14:paraId="68B7F18D">
      <w:pPr>
        <w:rPr>
          <w:rFonts w:hint="eastAsia"/>
          <w:shd w:val="clear" w:color="auto" w:fill="FFFFFF"/>
        </w:rPr>
      </w:pPr>
      <w:r>
        <w:rPr>
          <w:shd w:val="clear" w:color="auto" w:fill="FFFFFF"/>
        </w:rPr>
        <w:t>多智能体系统采用"感知→认知→决策"三层分离架构，是软件层的核心。每个智能体职责单一、输入输出标准化，通过报警事件数据类传递信息，形成可独立测试、可分别扩展的模块化管线。</w:t>
      </w:r>
    </w:p>
    <w:p w14:paraId="4957694E">
      <w:pPr>
        <w:spacing w:line="400" w:lineRule="exact"/>
        <w:ind w:firstLine="0" w:firstLineChars="0"/>
        <w:outlineLvl w:val="2"/>
        <w:rPr>
          <w:rFonts w:ascii="黑体" w:hAnsi="黑体" w:eastAsia="黑体"/>
          <w:sz w:val="30"/>
          <w:szCs w:val="30"/>
          <w:shd w:val="clear" w:color="auto" w:fill="FFFFFF"/>
        </w:rPr>
      </w:pPr>
      <w:bookmarkStart w:id="12" w:name="_Toc232502453"/>
      <w:r>
        <w:rPr>
          <w:rFonts w:ascii="黑体" w:hAnsi="黑体" w:eastAsia="黑体"/>
          <w:sz w:val="30"/>
          <w:szCs w:val="30"/>
          <w:shd w:val="clear" w:color="auto" w:fill="FFFFFF"/>
        </w:rPr>
        <w:t>4.</w:t>
      </w:r>
      <w:r>
        <w:rPr>
          <w:rFonts w:hint="eastAsia" w:ascii="黑体" w:hAnsi="黑体" w:eastAsia="黑体"/>
          <w:sz w:val="30"/>
          <w:szCs w:val="30"/>
          <w:shd w:val="clear" w:color="auto" w:fill="FFFFFF"/>
        </w:rPr>
        <w:t>3</w:t>
      </w:r>
      <w:r>
        <w:rPr>
          <w:rFonts w:ascii="黑体" w:hAnsi="黑体" w:eastAsia="黑体"/>
          <w:sz w:val="30"/>
          <w:szCs w:val="30"/>
          <w:shd w:val="clear" w:color="auto" w:fill="FFFFFF"/>
        </w:rPr>
        <w:t>.1感知Agent与违规判定</w:t>
      </w:r>
      <w:bookmarkEnd w:id="12"/>
    </w:p>
    <w:p w14:paraId="23BE3757">
      <w:pPr>
        <w:rPr>
          <w:rFonts w:hint="eastAsia"/>
          <w:shd w:val="clear" w:color="auto" w:fill="FFFFFF"/>
        </w:rPr>
      </w:pPr>
      <w:r>
        <w:rPr>
          <w:shd w:val="clear" w:color="auto" w:fill="FFFFFF"/>
        </w:rPr>
        <w:drawing>
          <wp:anchor distT="0" distB="0" distL="114300" distR="114300" simplePos="0" relativeHeight="251665408" behindDoc="0" locked="0" layoutInCell="1" allowOverlap="1">
            <wp:simplePos x="0" y="0"/>
            <wp:positionH relativeFrom="margin">
              <wp:align>left</wp:align>
            </wp:positionH>
            <wp:positionV relativeFrom="paragraph">
              <wp:posOffset>2360295</wp:posOffset>
            </wp:positionV>
            <wp:extent cx="5274310" cy="3071495"/>
            <wp:effectExtent l="0" t="0" r="13970" b="6985"/>
            <wp:wrapTopAndBottom/>
            <wp:docPr id="133121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1372" name="图片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071495"/>
                    </a:xfrm>
                    <a:prstGeom prst="rect">
                      <a:avLst/>
                    </a:prstGeom>
                  </pic:spPr>
                </pic:pic>
              </a:graphicData>
            </a:graphic>
          </wp:anchor>
        </w:drawing>
      </w:r>
      <w:r>
        <w:rPr>
          <w:shd w:val="clear" w:color="auto" w:fill="FFFFFF"/>
        </w:rPr>
        <w:t>感知智能体负责将边缘端原始检测数据转化为标准化的违规事件。输入为HTTP请求中解析得到的目标检测列表，每项包含目标类别编号、置信度、边界框坐标四元组，输出为报警事件数据类实例。核心判定算法基于目标间的空间关系推理：遍历所有检测到的类别编号0即人员目标，对每个人员分别检查其上半身区域内——即纵坐标小于人体顶部的60%高度——是否存在类别编号1即安全帽目标，以及其人体区域与类别编号2即反光背心目标的交并比是否大于0.3。两项检查的缺失分别对应生成"未戴安全帽"B级事件和"未穿反光背心"B级事件，类别编号3即火焰目标单独触发A级高危事件。该设计将YOLO的"平面检测"提升为"空间关系理解"，使单帧检测结果具备了场景语义。</w:t>
      </w:r>
    </w:p>
    <w:p w14:paraId="6D2AA862">
      <w:pPr>
        <w:spacing w:line="400" w:lineRule="exact"/>
        <w:ind w:firstLine="0" w:firstLineChars="0"/>
        <w:outlineLvl w:val="2"/>
        <w:rPr>
          <w:rFonts w:ascii="黑体" w:hAnsi="黑体" w:eastAsia="黑体"/>
          <w:sz w:val="30"/>
          <w:szCs w:val="30"/>
          <w:shd w:val="clear" w:color="auto" w:fill="FFFFFF"/>
        </w:rPr>
      </w:pPr>
      <w:bookmarkStart w:id="13" w:name="_Toc232502454"/>
      <w:r>
        <w:rPr>
          <w:rFonts w:ascii="黑体" w:hAnsi="黑体" w:eastAsia="黑体"/>
          <w:sz w:val="30"/>
          <w:szCs w:val="30"/>
          <w:shd w:val="clear" w:color="auto" w:fill="FFFFFF"/>
        </w:rPr>
        <w:t>4.</w:t>
      </w:r>
      <w:r>
        <w:rPr>
          <w:rFonts w:hint="eastAsia" w:ascii="黑体" w:hAnsi="黑体" w:eastAsia="黑体"/>
          <w:sz w:val="30"/>
          <w:szCs w:val="30"/>
          <w:shd w:val="clear" w:color="auto" w:fill="FFFFFF"/>
        </w:rPr>
        <w:t>3</w:t>
      </w:r>
      <w:r>
        <w:rPr>
          <w:rFonts w:ascii="黑体" w:hAnsi="黑体" w:eastAsia="黑体"/>
          <w:sz w:val="30"/>
          <w:szCs w:val="30"/>
          <w:shd w:val="clear" w:color="auto" w:fill="FFFFFF"/>
        </w:rPr>
        <w:t>.</w:t>
      </w:r>
      <w:r>
        <w:rPr>
          <w:rFonts w:hint="eastAsia" w:ascii="黑体" w:hAnsi="黑体" w:eastAsia="黑体"/>
          <w:sz w:val="30"/>
          <w:szCs w:val="30"/>
          <w:shd w:val="clear" w:color="auto" w:fill="FFFFFF"/>
        </w:rPr>
        <w:t>2</w:t>
      </w:r>
      <w:r>
        <w:rPr>
          <w:rFonts w:ascii="黑体" w:hAnsi="黑体" w:eastAsia="黑体"/>
          <w:sz w:val="30"/>
          <w:szCs w:val="30"/>
          <w:shd w:val="clear" w:color="auto" w:fill="FFFFFF"/>
        </w:rPr>
        <w:t>安全Agent与记忆增强LLM分析</w:t>
      </w:r>
      <w:bookmarkEnd w:id="13"/>
    </w:p>
    <w:p w14:paraId="4BC5FA87">
      <w:pPr>
        <w:rPr>
          <w:rFonts w:hint="eastAsia"/>
          <w:shd w:val="clear" w:color="auto" w:fill="FFFFFF"/>
        </w:rPr>
      </w:pPr>
      <w:r>
        <w:rPr>
          <w:shd w:val="clear" w:color="auto" w:fill="FFFFFF"/>
        </w:rPr>
        <w:t>安全智能体是系统的认知中枢，完成两项关键任务：历史记忆检索与多模态大模型推理。记忆模块基于SQLite数据库实现，将2000×700像素域的摄像头画面按200×200像素网格划分为约35个空间区域，以横纵网格编号拼接字符串作为区域标识。当新事件到达时，检索同区域过去60分钟内的报警记录——若达到2次及以上则触发"连续违规升级"，将事件等级从B升为A并追加升级标记。升级后，智能体构造结构化提示词调用本地Qwen2.5-VL 7B多模态大模型：输入包含标注后的监控截图以及检测结果与历史背景的文字描述，要求模型从"画面场景描述、严重程度评估、处置措施建议、是否需要升级响应"四个维度输出分析，限定200字以内中文回答。大模型运行于Ollama框架上，通过本地11434端口调用接口，全程离线推理，监控数据不出工厂内网。</w:t>
      </w:r>
      <w:r>
        <w:rPr>
          <w:shd w:val="clear" w:color="auto" w:fill="FFFFFF"/>
        </w:rPr>
        <w:drawing>
          <wp:inline distT="0" distB="0" distL="0" distR="0">
            <wp:extent cx="5274310" cy="3594735"/>
            <wp:effectExtent l="0" t="0" r="13970" b="1905"/>
            <wp:docPr id="518414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14515" name="图片 1"/>
                    <pic:cNvPicPr>
                      <a:picLocks noChangeAspect="1"/>
                    </pic:cNvPicPr>
                  </pic:nvPicPr>
                  <pic:blipFill>
                    <a:blip r:embed="rId17"/>
                    <a:stretch>
                      <a:fillRect/>
                    </a:stretch>
                  </pic:blipFill>
                  <pic:spPr>
                    <a:xfrm>
                      <a:off x="0" y="0"/>
                      <a:ext cx="5274310" cy="3594735"/>
                    </a:xfrm>
                    <a:prstGeom prst="rect">
                      <a:avLst/>
                    </a:prstGeom>
                  </pic:spPr>
                </pic:pic>
              </a:graphicData>
            </a:graphic>
          </wp:inline>
        </w:drawing>
      </w:r>
    </w:p>
    <w:p w14:paraId="06D1BFAE">
      <w:pPr>
        <w:spacing w:line="400" w:lineRule="exact"/>
        <w:ind w:firstLine="0" w:firstLineChars="0"/>
        <w:outlineLvl w:val="2"/>
        <w:rPr>
          <w:rFonts w:ascii="黑体" w:hAnsi="黑体" w:eastAsia="黑体"/>
          <w:sz w:val="30"/>
          <w:szCs w:val="30"/>
          <w:shd w:val="clear" w:color="auto" w:fill="FFFFFF"/>
        </w:rPr>
      </w:pPr>
      <w:bookmarkStart w:id="14" w:name="_Toc232502455"/>
      <w:r>
        <w:rPr>
          <w:rFonts w:ascii="黑体" w:hAnsi="黑体" w:eastAsia="黑体"/>
          <w:sz w:val="30"/>
          <w:szCs w:val="30"/>
          <w:shd w:val="clear" w:color="auto" w:fill="FFFFFF"/>
        </w:rPr>
        <w:t>4.</w:t>
      </w:r>
      <w:r>
        <w:rPr>
          <w:rFonts w:hint="eastAsia" w:ascii="黑体" w:hAnsi="黑体" w:eastAsia="黑体"/>
          <w:sz w:val="30"/>
          <w:szCs w:val="30"/>
          <w:shd w:val="clear" w:color="auto" w:fill="FFFFFF"/>
        </w:rPr>
        <w:t>3</w:t>
      </w:r>
      <w:r>
        <w:rPr>
          <w:rFonts w:ascii="黑体" w:hAnsi="黑体" w:eastAsia="黑体"/>
          <w:sz w:val="30"/>
          <w:szCs w:val="30"/>
          <w:shd w:val="clear" w:color="auto" w:fill="FFFFFF"/>
        </w:rPr>
        <w:t>.</w:t>
      </w:r>
      <w:r>
        <w:rPr>
          <w:rFonts w:hint="eastAsia" w:ascii="黑体" w:hAnsi="黑体" w:eastAsia="黑体"/>
          <w:sz w:val="30"/>
          <w:szCs w:val="30"/>
          <w:shd w:val="clear" w:color="auto" w:fill="FFFFFF"/>
        </w:rPr>
        <w:t>3</w:t>
      </w:r>
      <w:r>
        <w:rPr>
          <w:rFonts w:ascii="黑体" w:hAnsi="黑体" w:eastAsia="黑体"/>
          <w:sz w:val="30"/>
          <w:szCs w:val="30"/>
          <w:shd w:val="clear" w:color="auto" w:fill="FFFFFF"/>
        </w:rPr>
        <w:t>调度Agent与自主工具调用</w:t>
      </w:r>
      <w:bookmarkEnd w:id="14"/>
    </w:p>
    <w:p w14:paraId="20338504">
      <w:pPr>
        <w:rPr>
          <w:shd w:val="clear" w:color="auto" w:fill="FFFFFF"/>
        </w:rPr>
      </w:pPr>
      <w:r>
        <w:rPr>
          <w:shd w:val="clear" w:color="auto" w:fill="FFFFFF"/>
        </w:rPr>
        <w:t>调度智能体接收经安全智能体分析后的报警事件，依据事件最高等级执行对应规则。规则引擎采用查表式设计：A级火焰或连续违规升级事件触发人机审批拦截、数据库存储、</w:t>
      </w:r>
      <w:r>
        <w:rPr>
          <w:rFonts w:hint="eastAsia"/>
          <w:shd w:val="clear" w:color="auto" w:fill="FFFFFF"/>
        </w:rPr>
        <w:t>手机钉钉APP</w:t>
      </w:r>
      <w:r>
        <w:rPr>
          <w:shd w:val="clear" w:color="auto" w:fill="FFFFFF"/>
        </w:rPr>
        <w:t>消息紧急推送、安全报告生成四条工具链；B级安全帽或背心缺失事件触发人机审批放行、数据库存储、消息普通推送、日志记录；C级车辆等提示类事件仅执行数据库存储。四类工具以统一的方法调用接口封装：数据库工具维护SQLite报警记录表，支持存储、查询、统计三类操作，为记忆模块提供历史上下文；消息推送工具通过钉钉网络钩子发送图文告警，有公网图片地址时采用带缩略图的图文链接消息，否则降级为Markdown格式文本；报告工具生成结构化Markdown安全报告；人机协同工具为A级事件创建JSON格式的待审批工单，含事件摘要、大模型分析结论、状态标记，在工具链中以最高优先级执行拦截检查，确保高危操作必须经过人类安全员确认后才可继续。</w:t>
      </w:r>
    </w:p>
    <w:p w14:paraId="3CD7703D">
      <w:pPr>
        <w:rPr>
          <w:rFonts w:hint="eastAsia"/>
          <w:shd w:val="clear" w:color="auto" w:fill="FFFFFF"/>
        </w:rPr>
      </w:pPr>
      <w:r>
        <w:rPr>
          <w:shd w:val="clear" w:color="auto" w:fill="FFFFFF"/>
        </w:rPr>
        <w:drawing>
          <wp:anchor distT="0" distB="0" distL="114300" distR="114300" simplePos="0" relativeHeight="251668480" behindDoc="0" locked="0" layoutInCell="1" allowOverlap="1">
            <wp:simplePos x="0" y="0"/>
            <wp:positionH relativeFrom="margin">
              <wp:posOffset>1687830</wp:posOffset>
            </wp:positionH>
            <wp:positionV relativeFrom="paragraph">
              <wp:posOffset>3889375</wp:posOffset>
            </wp:positionV>
            <wp:extent cx="2265045" cy="4030980"/>
            <wp:effectExtent l="0" t="0" r="5715" b="7620"/>
            <wp:wrapTopAndBottom/>
            <wp:docPr id="4201821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82167" name="图片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265045" cy="4030980"/>
                    </a:xfrm>
                    <a:prstGeom prst="rect">
                      <a:avLst/>
                    </a:prstGeom>
                    <a:noFill/>
                    <a:ln>
                      <a:noFill/>
                    </a:ln>
                  </pic:spPr>
                </pic:pic>
              </a:graphicData>
            </a:graphic>
          </wp:anchor>
        </w:drawing>
      </w:r>
      <w:r>
        <w:rPr>
          <w:rFonts w:hint="eastAsia"/>
          <w:shd w:val="clear" w:color="auto" w:fill="FFFFFF"/>
        </w:rPr>
        <w:t>推送报警至钉钉</w:t>
      </w:r>
      <w:r>
        <w:rPr>
          <w:shd w:val="clear" w:color="auto" w:fill="FFFFFF"/>
        </w:rPr>
        <w:drawing>
          <wp:anchor distT="0" distB="0" distL="114300" distR="114300" simplePos="0" relativeHeight="251666432" behindDoc="0" locked="0" layoutInCell="1" allowOverlap="1">
            <wp:simplePos x="0" y="0"/>
            <wp:positionH relativeFrom="margin">
              <wp:align>left</wp:align>
            </wp:positionH>
            <wp:positionV relativeFrom="paragraph">
              <wp:posOffset>102235</wp:posOffset>
            </wp:positionV>
            <wp:extent cx="5274310" cy="3527425"/>
            <wp:effectExtent l="0" t="0" r="13970" b="8255"/>
            <wp:wrapTopAndBottom/>
            <wp:docPr id="241356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56704" name="图片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3527425"/>
                    </a:xfrm>
                    <a:prstGeom prst="rect">
                      <a:avLst/>
                    </a:prstGeom>
                  </pic:spPr>
                </pic:pic>
              </a:graphicData>
            </a:graphic>
          </wp:anchor>
        </w:drawing>
      </w:r>
      <w:r>
        <w:rPr>
          <w:rFonts w:hint="eastAsia"/>
          <w:shd w:val="clear" w:color="auto" w:fill="FFFFFF"/>
        </w:rPr>
        <w:t>APP的预警机器人效果如图：</w:t>
      </w:r>
    </w:p>
    <w:p w14:paraId="51633B6F">
      <w:pPr>
        <w:spacing w:line="400" w:lineRule="exact"/>
        <w:ind w:firstLine="0" w:firstLineChars="0"/>
        <w:outlineLvl w:val="2"/>
        <w:rPr>
          <w:rFonts w:ascii="黑体" w:hAnsi="黑体" w:eastAsia="黑体"/>
          <w:sz w:val="30"/>
          <w:szCs w:val="30"/>
          <w:shd w:val="clear" w:color="auto" w:fill="FFFFFF"/>
        </w:rPr>
      </w:pPr>
      <w:bookmarkStart w:id="15" w:name="_Toc232502456"/>
      <w:r>
        <w:rPr>
          <w:rFonts w:ascii="黑体" w:hAnsi="黑体" w:eastAsia="黑体"/>
          <w:sz w:val="30"/>
          <w:szCs w:val="30"/>
          <w:shd w:val="clear" w:color="auto" w:fill="FFFFFF"/>
        </w:rPr>
        <w:t>4.</w:t>
      </w:r>
      <w:r>
        <w:rPr>
          <w:rFonts w:hint="eastAsia" w:ascii="黑体" w:hAnsi="黑体" w:eastAsia="黑体"/>
          <w:sz w:val="30"/>
          <w:szCs w:val="30"/>
          <w:shd w:val="clear" w:color="auto" w:fill="FFFFFF"/>
        </w:rPr>
        <w:t>3</w:t>
      </w:r>
      <w:r>
        <w:rPr>
          <w:rFonts w:ascii="黑体" w:hAnsi="黑体" w:eastAsia="黑体"/>
          <w:sz w:val="30"/>
          <w:szCs w:val="30"/>
          <w:shd w:val="clear" w:color="auto" w:fill="FFFFFF"/>
        </w:rPr>
        <w:t>.</w:t>
      </w:r>
      <w:r>
        <w:rPr>
          <w:rFonts w:hint="eastAsia" w:ascii="黑体" w:hAnsi="黑体" w:eastAsia="黑体"/>
          <w:sz w:val="30"/>
          <w:szCs w:val="30"/>
          <w:shd w:val="clear" w:color="auto" w:fill="FFFFFF"/>
        </w:rPr>
        <w:t>4</w:t>
      </w:r>
      <w:r>
        <w:rPr>
          <w:rFonts w:ascii="黑体" w:hAnsi="黑体" w:eastAsia="黑体"/>
          <w:sz w:val="30"/>
          <w:szCs w:val="30"/>
          <w:shd w:val="clear" w:color="auto" w:fill="FFFFFF"/>
        </w:rPr>
        <w:t>标准化通信与模块解耦</w:t>
      </w:r>
      <w:bookmarkEnd w:id="15"/>
    </w:p>
    <w:p w14:paraId="0CAAA2C7">
      <w:pPr>
        <w:rPr>
          <w:rFonts w:hint="eastAsia"/>
          <w:shd w:val="clear" w:color="auto" w:fill="FFFFFF"/>
        </w:rPr>
      </w:pPr>
      <w:r>
        <w:rPr>
          <w:shd w:val="clear" w:color="auto" w:fill="FFFFFF"/>
        </w:rPr>
        <w:t>三个智能体之间通过报警事件数据类完成信息传递，该数据类采用Python数据类定义，包含报警时间戳、违规事件列表——每项含类型、等级、边界框——盒子原始数据、截图数据与截图地址，以及由安全智能体填充的大模型分析文本和由调度智能体填充的工具执行结果列表。数据流向严格单向：感知智能体构造报警事件实例、安全智能体追加大模型分析文本、调度智能体追加工具执行结果，最后通过WebSocket广播至前端。每个智能体仅修改自己负责的字段，不感知其他智能体的内部实现。这种设计使得单个智能体可独立替换或升级——例如将Qwen2.5-VL替换为其他视觉模型时，仅需修改安全智能体内部调用逻辑，上下游智能体无需任何调整。</w:t>
      </w:r>
    </w:p>
    <w:p w14:paraId="09336D7C">
      <w:pPr>
        <w:spacing w:line="400" w:lineRule="exact"/>
        <w:ind w:firstLine="0" w:firstLineChars="0"/>
        <w:outlineLvl w:val="1"/>
        <w:rPr>
          <w:rFonts w:ascii="黑体" w:hAnsi="黑体" w:eastAsia="黑体"/>
          <w:sz w:val="30"/>
          <w:szCs w:val="30"/>
          <w:shd w:val="clear" w:color="auto" w:fill="FFFFFF"/>
        </w:rPr>
      </w:pPr>
      <w:bookmarkStart w:id="16" w:name="_Toc232502457"/>
      <w:r>
        <w:rPr>
          <w:rFonts w:ascii="黑体" w:hAnsi="黑体" w:eastAsia="黑体"/>
          <w:sz w:val="30"/>
          <w:szCs w:val="30"/>
          <w:shd w:val="clear" w:color="auto" w:fill="FFFFFF"/>
        </w:rPr>
        <w:t>4.</w:t>
      </w:r>
      <w:r>
        <w:rPr>
          <w:rFonts w:hint="eastAsia" w:ascii="黑体" w:hAnsi="黑体" w:eastAsia="黑体"/>
          <w:sz w:val="30"/>
          <w:szCs w:val="30"/>
          <w:shd w:val="clear" w:color="auto" w:fill="FFFFFF"/>
        </w:rPr>
        <w:t>4</w:t>
      </w:r>
      <w:r>
        <w:rPr>
          <w:rFonts w:ascii="黑体" w:hAnsi="黑体" w:eastAsia="黑体"/>
          <w:sz w:val="30"/>
          <w:szCs w:val="30"/>
          <w:shd w:val="clear" w:color="auto" w:fill="FFFFFF"/>
        </w:rPr>
        <w:t xml:space="preserve"> 3D数字孪生可视化与人机交互</w:t>
      </w:r>
      <w:r>
        <w:rPr>
          <w:rFonts w:hint="eastAsia" w:ascii="黑体" w:hAnsi="黑体" w:eastAsia="黑体"/>
          <w:sz w:val="30"/>
          <w:szCs w:val="30"/>
          <w:shd w:val="clear" w:color="auto" w:fill="FFFFFF"/>
        </w:rPr>
        <w:t>设计</w:t>
      </w:r>
      <w:bookmarkEnd w:id="16"/>
    </w:p>
    <w:p w14:paraId="7AB20FE3">
      <w:pPr>
        <w:rPr>
          <w:rFonts w:hint="eastAsia"/>
          <w:shd w:val="clear" w:color="auto" w:fill="FFFFFF"/>
        </w:rPr>
      </w:pPr>
      <w:r>
        <w:rPr>
          <w:shd w:val="clear" w:color="auto" w:fill="FFFFFF"/>
        </w:rPr>
        <w:drawing>
          <wp:anchor distT="0" distB="0" distL="114300" distR="114300" simplePos="0" relativeHeight="251664384" behindDoc="0" locked="0" layoutInCell="1" allowOverlap="1">
            <wp:simplePos x="0" y="0"/>
            <wp:positionH relativeFrom="margin">
              <wp:align>right</wp:align>
            </wp:positionH>
            <wp:positionV relativeFrom="paragraph">
              <wp:posOffset>1075690</wp:posOffset>
            </wp:positionV>
            <wp:extent cx="5274310" cy="2767330"/>
            <wp:effectExtent l="0" t="0" r="13970" b="6350"/>
            <wp:wrapTopAndBottom/>
            <wp:docPr id="431599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99050" name="图片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767330"/>
                    </a:xfrm>
                    <a:prstGeom prst="rect">
                      <a:avLst/>
                    </a:prstGeom>
                  </pic:spPr>
                </pic:pic>
              </a:graphicData>
            </a:graphic>
          </wp:anchor>
        </w:drawing>
      </w:r>
      <w:r>
        <w:rPr>
          <w:shd w:val="clear" w:color="auto" w:fill="FFFFFF"/>
        </w:rPr>
        <w:t>展示端以单HTML文件集成Three.js三维引擎、WebSocket实时通信与人机协同审批交互。程序启动时加载工厂三维模型并以蓝色自发光的线框半透明材质渲染，经泛光后期特效产生霓虹光晕，营造全息赛博风格。800个蓝色粒子以叠加混合模式在场景中缓慢旋转增强深度感。</w:t>
      </w:r>
      <w:r>
        <w:rPr>
          <w:rFonts w:hint="eastAsia"/>
          <w:shd w:val="clear" w:color="auto" w:fill="FFFFFF"/>
        </w:rPr>
        <w:t>二维到三维映射原理如图：</w:t>
      </w:r>
    </w:p>
    <w:p w14:paraId="73519A3E">
      <w:pPr>
        <w:rPr>
          <w:rFonts w:hint="eastAsia"/>
          <w:shd w:val="clear" w:color="auto" w:fill="FFFFFF"/>
        </w:rPr>
      </w:pPr>
      <w:r>
        <w:rPr>
          <w:shd w:val="clear" w:color="auto" w:fill="FFFFFF"/>
        </w:rPr>
        <w:t>WebSocket连接后端5001端口，消息分两阶段到达——快速报警阶段的延迟约200毫秒，仅更新左上角监控预览面板显示标注截图；完整分析阶段的延迟约1.4秒，携带大模型分析结果与最终等级，触发三维场景更新。核心逻辑为像素坐标到三维物理坐标的映射：将摄像头2000×700像素域线性映射到24米×12米的虚拟工厂地面，以目标框底边中心点作为工人脚底坐标。根据违规类型选择不同三维工人模型——全合规显示蓝绿色安全装备模型，未戴安全帽显示红色高可视背心模型——采用包围盒自动对齐实现脚底精准贴地，并通过目标编号跨帧追踪实现对象池复用，同一编号更新位置不重建。</w:t>
      </w:r>
    </w:p>
    <w:p w14:paraId="04B14CDC">
      <w:pPr>
        <w:rPr>
          <w:rFonts w:hint="eastAsia"/>
          <w:shd w:val="clear" w:color="auto" w:fill="FFFFFF"/>
        </w:rPr>
      </w:pPr>
      <w:r>
        <w:rPr>
          <w:shd w:val="clear" w:color="auto" w:fill="FFFFFF"/>
        </w:rPr>
        <w:t>A级高危事件触发差异化交互响应：Tween.js缓动动画库以三次缓入缓出曲线在1.5秒内将镜头推近至事件位置，距离约15米，停留4秒后拉回默认视角，期间通过聚焦锁定标志防止多个A级事件导致镜头频繁跳动；浏览器语音接口播放中文语音"警告！A级高危违规事件"；界面动态注入红底白字审批卡片，安全员点击"授权执行"后通过WebSocket回传后端更新工单状态，卡片变更为绿色"已授权"标记，完成从智能决策建议到人类最终裁决的可信闭环。渲染性能方面，通过将像素比限制在1.5、阴影贴图压缩至512像素、粒子数量控制在300个、页面卡片上限设为30张等优化措施，在30个并发工人的复杂场景下仍保持48</w:t>
      </w:r>
      <w:r>
        <w:rPr>
          <w:shd w:val="clear" w:color="auto" w:fill="FFFFFF"/>
        </w:rPr>
        <w:drawing>
          <wp:anchor distT="0" distB="0" distL="114300" distR="114300" simplePos="0" relativeHeight="251667456" behindDoc="0" locked="0" layoutInCell="1" allowOverlap="1">
            <wp:simplePos x="0" y="0"/>
            <wp:positionH relativeFrom="margin">
              <wp:align>left</wp:align>
            </wp:positionH>
            <wp:positionV relativeFrom="paragraph">
              <wp:posOffset>552450</wp:posOffset>
            </wp:positionV>
            <wp:extent cx="5274310" cy="3070225"/>
            <wp:effectExtent l="0" t="0" r="13970" b="8255"/>
            <wp:wrapTopAndBottom/>
            <wp:docPr id="19886630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63083" name="图片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3070225"/>
                    </a:xfrm>
                    <a:prstGeom prst="rect">
                      <a:avLst/>
                    </a:prstGeom>
                    <a:noFill/>
                    <a:ln>
                      <a:noFill/>
                    </a:ln>
                  </pic:spPr>
                </pic:pic>
              </a:graphicData>
            </a:graphic>
          </wp:anchor>
        </w:drawing>
      </w:r>
      <w:r>
        <w:rPr>
          <w:shd w:val="clear" w:color="auto" w:fill="FFFFFF"/>
        </w:rPr>
        <w:t>帧每秒的流畅帧率。</w:t>
      </w:r>
      <w:r>
        <w:rPr>
          <w:rFonts w:hint="eastAsia"/>
          <w:shd w:val="clear" w:color="auto" w:fill="FFFFFF"/>
        </w:rPr>
        <w:t>3D报警平台界面如图：</w:t>
      </w:r>
    </w:p>
    <w:p w14:paraId="6110300B">
      <w:pPr>
        <w:spacing w:line="400" w:lineRule="exact"/>
        <w:ind w:firstLine="0" w:firstLineChars="0"/>
        <w:outlineLvl w:val="1"/>
        <w:rPr>
          <w:rFonts w:ascii="黑体" w:hAnsi="黑体" w:eastAsia="黑体"/>
          <w:sz w:val="30"/>
          <w:szCs w:val="30"/>
          <w:shd w:val="clear" w:color="auto" w:fill="FFFFFF"/>
        </w:rPr>
      </w:pPr>
      <w:bookmarkStart w:id="17" w:name="_Toc232502458"/>
      <w:r>
        <w:rPr>
          <w:rFonts w:ascii="黑体" w:hAnsi="黑体" w:eastAsia="黑体"/>
          <w:sz w:val="30"/>
          <w:szCs w:val="30"/>
          <w:shd w:val="clear" w:color="auto" w:fill="FFFFFF"/>
        </w:rPr>
        <w:t>4.</w:t>
      </w:r>
      <w:r>
        <w:rPr>
          <w:rFonts w:hint="eastAsia" w:ascii="黑体" w:hAnsi="黑体" w:eastAsia="黑体"/>
          <w:sz w:val="30"/>
          <w:szCs w:val="30"/>
          <w:shd w:val="clear" w:color="auto" w:fill="FFFFFF"/>
        </w:rPr>
        <w:t>5</w:t>
      </w:r>
      <w:r>
        <w:rPr>
          <w:rFonts w:ascii="黑体" w:hAnsi="黑体" w:eastAsia="黑体"/>
          <w:sz w:val="30"/>
          <w:szCs w:val="30"/>
          <w:shd w:val="clear" w:color="auto" w:fill="FFFFFF"/>
        </w:rPr>
        <w:t xml:space="preserve"> 软件设计创新</w:t>
      </w:r>
      <w:bookmarkEnd w:id="17"/>
    </w:p>
    <w:p w14:paraId="12F1C45D">
      <w:pPr>
        <w:rPr>
          <w:shd w:val="clear" w:color="auto" w:fill="FFFFFF"/>
        </w:rPr>
      </w:pPr>
      <w:r>
        <w:rPr>
          <w:shd w:val="clear" w:color="auto" w:fill="FFFFFF"/>
        </w:rPr>
        <w:t>本节从前述各层设计中提炼三项核心软件创新。</w:t>
      </w:r>
    </w:p>
    <w:p w14:paraId="0331E35C">
      <w:pPr>
        <w:rPr>
          <w:shd w:val="clear" w:color="auto" w:fill="FFFFFF"/>
        </w:rPr>
      </w:pPr>
      <w:r>
        <w:rPr>
          <w:shd w:val="clear" w:color="auto" w:fill="FFFFFF"/>
        </w:rPr>
        <w:t>其一，三层分离多智能体协同架构：将传统单体决策拆分为感知、认知、决策三个独立智能体，每个智能体职责边界清晰、可独立测试与替换，通过标准化报警事件数据类实现解耦通信，与LangChain等框架的"链式调用"相比，本架构的显式"流水线加字段追加"模式更利于工业场景的调试追溯与责任界定。</w:t>
      </w:r>
    </w:p>
    <w:p w14:paraId="140466BC">
      <w:pPr>
        <w:rPr>
          <w:shd w:val="clear" w:color="auto" w:fill="FFFFFF"/>
        </w:rPr>
      </w:pPr>
      <w:r>
        <w:rPr>
          <w:shd w:val="clear" w:color="auto" w:fill="FFFFFF"/>
        </w:rPr>
        <w:t>其二，基于空间记忆的智能违规升级：引入空间网格化索引和时序窗口查询，使系统从"逐帧独立检测"提升为"带上下文的连续理解"——同一区域短时间内频繁违规自动触发升级，避免"狼来了"式告警疲劳，体现了智能体系统对历史背景的理解能力。</w:t>
      </w:r>
    </w:p>
    <w:p w14:paraId="36C285A1">
      <w:pPr>
        <w:rPr>
          <w:shd w:val="clear" w:color="auto" w:fill="FFFFFF"/>
        </w:rPr>
      </w:pPr>
      <w:r>
        <w:rPr>
          <w:shd w:val="clear" w:color="auto" w:fill="FFFFFF"/>
        </w:rPr>
        <w:t>其三，人机协同可信决策闭环：A级高危事件由调度智能体自动拦截而非自主执行，将最终裁决权保留给人类安全员，前端审批卡片提供完整的大模型分析摘要作为决策辅助，在智能自主性与人类监督之间取得了工程化的平衡。</w:t>
      </w:r>
    </w:p>
    <w:p w14:paraId="0B134059">
      <w:pPr>
        <w:rPr>
          <w:shd w:val="clear" w:color="auto" w:fill="FFFFFF"/>
        </w:rPr>
      </w:pPr>
      <w:r>
        <w:rPr>
          <w:shd w:val="clear" w:color="auto" w:fill="FFFFFF"/>
        </w:rPr>
        <w:br w:type="page"/>
      </w:r>
    </w:p>
    <w:p w14:paraId="1F4F8DF5">
      <w:pPr>
        <w:spacing w:before="0" w:after="0" w:line="276" w:lineRule="auto"/>
        <w:ind w:firstLine="0"/>
        <w:jc w:val="center"/>
      </w:pPr>
      <w:r>
        <w:rPr>
          <w:rFonts w:ascii="黑体" w:hAnsi="黑体" w:eastAsia="黑体" w:cs="黑体"/>
          <w:b w:val="0"/>
          <w:sz w:val="36"/>
        </w:rPr>
        <w:t>第5章 系统测试与分析</w:t>
      </w:r>
    </w:p>
    <w:p w14:paraId="42C21ED2">
      <w:pPr>
        <w:spacing w:before="0" w:after="0" w:line="276" w:lineRule="auto"/>
        <w:ind w:firstLine="420"/>
        <w:jc w:val="both"/>
      </w:pPr>
      <w:r>
        <w:rPr>
          <w:rFonts w:ascii="宋体" w:hAnsi="宋体" w:eastAsia="宋体" w:cs="宋体"/>
          <w:b w:val="0"/>
          <w:sz w:val="24"/>
        </w:rPr>
        <w:t>基于前文所述系统设计方案，本章对边缘检测模块与中枢智能模块进行量化性能评估，并对系统整体进行功能验证与稳定性测试。测试环境与硬件配置同第3章所述。</w:t>
      </w:r>
    </w:p>
    <w:p w14:paraId="67453CAB">
      <w:pPr>
        <w:spacing w:before="0" w:after="0" w:line="276" w:lineRule="auto"/>
        <w:ind w:firstLine="0"/>
        <w:jc w:val="both"/>
      </w:pPr>
      <w:r>
        <w:rPr>
          <w:rFonts w:ascii="黑体" w:hAnsi="黑体" w:eastAsia="黑体" w:cs="黑体"/>
          <w:b w:val="0"/>
          <w:sz w:val="30"/>
        </w:rPr>
        <w:t>5.1 性能对比</w:t>
      </w:r>
    </w:p>
    <w:p w14:paraId="14ED3D1A">
      <w:pPr>
        <w:spacing w:before="0" w:after="0" w:line="276" w:lineRule="auto"/>
        <w:ind w:firstLine="0"/>
        <w:jc w:val="both"/>
      </w:pPr>
      <w:r>
        <w:rPr>
          <w:rFonts w:ascii="黑体" w:hAnsi="黑体" w:eastAsia="黑体" w:cs="黑体"/>
          <w:b w:val="0"/>
          <w:sz w:val="24"/>
        </w:rPr>
        <w:t>5.1.1 检测模型精度与速度对比</w:t>
      </w:r>
    </w:p>
    <w:p w14:paraId="3A15581A">
      <w:pPr>
        <w:spacing w:before="0" w:after="0" w:line="276" w:lineRule="auto"/>
        <w:ind w:firstLine="420"/>
        <w:jc w:val="both"/>
      </w:pPr>
      <w:r>
        <w:rPr>
          <w:rFonts w:ascii="宋体" w:hAnsi="宋体" w:eastAsia="宋体" w:cs="宋体"/>
          <w:b w:val="0"/>
          <w:sz w:val="24"/>
        </w:rPr>
        <w:t>在边缘端海康超脑盒子平台上，使用自建工厂场景数据集（6类目标，5000张标注图像，8:1:1划分）测试了三种模型配置的精度与推理速度，结果如表5-1所示。</w:t>
      </w:r>
    </w:p>
    <w:p w14:paraId="102414AC">
      <w:pPr>
        <w:spacing w:before="0" w:after="40" w:line="276" w:lineRule="auto"/>
        <w:ind w:firstLine="0"/>
        <w:jc w:val="center"/>
      </w:pPr>
      <w:r>
        <w:rPr>
          <w:rFonts w:ascii="宋体" w:hAnsi="宋体" w:eastAsia="宋体" w:cs="宋体"/>
          <w:b/>
          <w:sz w:val="21"/>
        </w:rPr>
        <w:t>表5-1 边缘端检测模型性能对比</w:t>
      </w:r>
    </w:p>
    <w:tbl>
      <w:tblPr>
        <w:tblStyle w:val="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814"/>
        <w:gridCol w:w="1020"/>
        <w:gridCol w:w="1020"/>
        <w:gridCol w:w="907"/>
        <w:gridCol w:w="907"/>
        <w:gridCol w:w="907"/>
        <w:gridCol w:w="907"/>
        <w:gridCol w:w="907"/>
      </w:tblGrid>
      <w:tr w14:paraId="5482570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shd w:val="clear" w:color="auto" w:fill="D9E2F3"/>
          </w:tcPr>
          <w:p w14:paraId="2F008EA0">
            <w:pPr>
              <w:spacing w:before="20" w:after="20" w:line="240" w:lineRule="auto"/>
              <w:jc w:val="center"/>
            </w:pPr>
            <w:r>
              <w:rPr>
                <w:rFonts w:ascii="黑体" w:hAnsi="黑体" w:eastAsia="黑体" w:cs="黑体"/>
                <w:b/>
                <w:sz w:val="18"/>
              </w:rPr>
              <w:t>模型配置</w:t>
            </w:r>
          </w:p>
        </w:tc>
        <w:tc>
          <w:tcPr>
            <w:tcW w:w="1020" w:type="dxa"/>
            <w:shd w:val="clear" w:color="auto" w:fill="D9E2F3"/>
          </w:tcPr>
          <w:p w14:paraId="6E78CFD5">
            <w:pPr>
              <w:spacing w:before="20" w:after="20" w:line="240" w:lineRule="auto"/>
              <w:jc w:val="center"/>
            </w:pPr>
            <w:r>
              <w:rPr>
                <w:rFonts w:ascii="黑体" w:hAnsi="黑体" w:eastAsia="黑体" w:cs="黑体"/>
                <w:b/>
                <w:sz w:val="18"/>
              </w:rPr>
              <w:t>mAP@0.5</w:t>
            </w:r>
            <w:r>
              <w:rPr>
                <w:rFonts w:ascii="黑体" w:hAnsi="黑体" w:eastAsia="黑体" w:cs="黑体"/>
                <w:b/>
                <w:sz w:val="18"/>
              </w:rPr>
              <w:br w:type="textWrapping"/>
            </w:r>
            <w:r>
              <w:rPr>
                <w:rFonts w:ascii="黑体" w:hAnsi="黑体" w:eastAsia="黑体" w:cs="黑体"/>
                <w:b/>
                <w:sz w:val="18"/>
              </w:rPr>
              <w:t>(%)</w:t>
            </w:r>
          </w:p>
        </w:tc>
        <w:tc>
          <w:tcPr>
            <w:tcW w:w="1020" w:type="dxa"/>
            <w:shd w:val="clear" w:color="auto" w:fill="D9E2F3"/>
          </w:tcPr>
          <w:p w14:paraId="20DB1670">
            <w:pPr>
              <w:spacing w:before="20" w:after="20" w:line="240" w:lineRule="auto"/>
              <w:jc w:val="center"/>
            </w:pPr>
            <w:r>
              <w:rPr>
                <w:rFonts w:ascii="黑体" w:hAnsi="黑体" w:eastAsia="黑体" w:cs="黑体"/>
                <w:b/>
                <w:sz w:val="18"/>
              </w:rPr>
              <w:t>安全帽AP</w:t>
            </w:r>
            <w:r>
              <w:rPr>
                <w:rFonts w:ascii="黑体" w:hAnsi="黑体" w:eastAsia="黑体" w:cs="黑体"/>
                <w:b/>
                <w:sz w:val="18"/>
              </w:rPr>
              <w:br w:type="textWrapping"/>
            </w:r>
            <w:r>
              <w:rPr>
                <w:rFonts w:ascii="黑体" w:hAnsi="黑体" w:eastAsia="黑体" w:cs="黑体"/>
                <w:b/>
                <w:sz w:val="18"/>
              </w:rPr>
              <w:t>(%)</w:t>
            </w:r>
          </w:p>
        </w:tc>
        <w:tc>
          <w:tcPr>
            <w:tcW w:w="907" w:type="dxa"/>
            <w:shd w:val="clear" w:color="auto" w:fill="D9E2F3"/>
          </w:tcPr>
          <w:p w14:paraId="285ED05D">
            <w:pPr>
              <w:spacing w:before="20" w:after="20" w:line="240" w:lineRule="auto"/>
              <w:jc w:val="center"/>
            </w:pPr>
            <w:r>
              <w:rPr>
                <w:rFonts w:ascii="黑体" w:hAnsi="黑体" w:eastAsia="黑体" w:cs="黑体"/>
                <w:b/>
                <w:sz w:val="18"/>
              </w:rPr>
              <w:t>背心AP</w:t>
            </w:r>
            <w:r>
              <w:rPr>
                <w:rFonts w:ascii="黑体" w:hAnsi="黑体" w:eastAsia="黑体" w:cs="黑体"/>
                <w:b/>
                <w:sz w:val="18"/>
              </w:rPr>
              <w:br w:type="textWrapping"/>
            </w:r>
            <w:r>
              <w:rPr>
                <w:rFonts w:ascii="黑体" w:hAnsi="黑体" w:eastAsia="黑体" w:cs="黑体"/>
                <w:b/>
                <w:sz w:val="18"/>
              </w:rPr>
              <w:t>(%)</w:t>
            </w:r>
          </w:p>
        </w:tc>
        <w:tc>
          <w:tcPr>
            <w:tcW w:w="907" w:type="dxa"/>
            <w:shd w:val="clear" w:color="auto" w:fill="D9E2F3"/>
          </w:tcPr>
          <w:p w14:paraId="0E44F303">
            <w:pPr>
              <w:spacing w:before="20" w:after="20" w:line="240" w:lineRule="auto"/>
              <w:jc w:val="center"/>
            </w:pPr>
            <w:r>
              <w:rPr>
                <w:rFonts w:ascii="黑体" w:hAnsi="黑体" w:eastAsia="黑体" w:cs="黑体"/>
                <w:b/>
                <w:sz w:val="18"/>
              </w:rPr>
              <w:t>火焰AP</w:t>
            </w:r>
            <w:r>
              <w:rPr>
                <w:rFonts w:ascii="黑体" w:hAnsi="黑体" w:eastAsia="黑体" w:cs="黑体"/>
                <w:b/>
                <w:sz w:val="18"/>
              </w:rPr>
              <w:br w:type="textWrapping"/>
            </w:r>
            <w:r>
              <w:rPr>
                <w:rFonts w:ascii="黑体" w:hAnsi="黑体" w:eastAsia="黑体" w:cs="黑体"/>
                <w:b/>
                <w:sz w:val="18"/>
              </w:rPr>
              <w:t>(%)</w:t>
            </w:r>
          </w:p>
        </w:tc>
        <w:tc>
          <w:tcPr>
            <w:tcW w:w="907" w:type="dxa"/>
            <w:shd w:val="clear" w:color="auto" w:fill="D9E2F3"/>
          </w:tcPr>
          <w:p w14:paraId="0BA79E38">
            <w:pPr>
              <w:spacing w:before="20" w:after="20" w:line="240" w:lineRule="auto"/>
              <w:jc w:val="center"/>
            </w:pPr>
            <w:r>
              <w:rPr>
                <w:rFonts w:ascii="黑体" w:hAnsi="黑体" w:eastAsia="黑体" w:cs="黑体"/>
                <w:b/>
                <w:sz w:val="18"/>
              </w:rPr>
              <w:t>推理延迟</w:t>
            </w:r>
            <w:r>
              <w:rPr>
                <w:rFonts w:ascii="黑体" w:hAnsi="黑体" w:eastAsia="黑体" w:cs="黑体"/>
                <w:b/>
                <w:sz w:val="18"/>
              </w:rPr>
              <w:br w:type="textWrapping"/>
            </w:r>
            <w:r>
              <w:rPr>
                <w:rFonts w:ascii="黑体" w:hAnsi="黑体" w:eastAsia="黑体" w:cs="黑体"/>
                <w:b/>
                <w:sz w:val="18"/>
              </w:rPr>
              <w:t>(ms)</w:t>
            </w:r>
          </w:p>
        </w:tc>
        <w:tc>
          <w:tcPr>
            <w:tcW w:w="907" w:type="dxa"/>
            <w:shd w:val="clear" w:color="auto" w:fill="D9E2F3"/>
          </w:tcPr>
          <w:p w14:paraId="59F0CFE3">
            <w:pPr>
              <w:spacing w:before="20" w:after="20" w:line="240" w:lineRule="auto"/>
              <w:jc w:val="center"/>
            </w:pPr>
            <w:r>
              <w:rPr>
                <w:rFonts w:ascii="黑体" w:hAnsi="黑体" w:eastAsia="黑体" w:cs="黑体"/>
                <w:b/>
                <w:sz w:val="18"/>
              </w:rPr>
              <w:t>模型大小</w:t>
            </w:r>
            <w:r>
              <w:rPr>
                <w:rFonts w:ascii="黑体" w:hAnsi="黑体" w:eastAsia="黑体" w:cs="黑体"/>
                <w:b/>
                <w:sz w:val="18"/>
              </w:rPr>
              <w:br w:type="textWrapping"/>
            </w:r>
            <w:r>
              <w:rPr>
                <w:rFonts w:ascii="黑体" w:hAnsi="黑体" w:eastAsia="黑体" w:cs="黑体"/>
                <w:b/>
                <w:sz w:val="18"/>
              </w:rPr>
              <w:t>(MB)</w:t>
            </w:r>
          </w:p>
        </w:tc>
        <w:tc>
          <w:tcPr>
            <w:tcW w:w="907" w:type="dxa"/>
            <w:shd w:val="clear" w:color="auto" w:fill="D9E2F3"/>
          </w:tcPr>
          <w:p w14:paraId="202BD612">
            <w:pPr>
              <w:spacing w:before="20" w:after="20" w:line="240" w:lineRule="auto"/>
              <w:jc w:val="center"/>
            </w:pPr>
            <w:r>
              <w:rPr>
                <w:rFonts w:ascii="黑体" w:hAnsi="黑体" w:eastAsia="黑体" w:cs="黑体"/>
                <w:b/>
                <w:sz w:val="18"/>
              </w:rPr>
              <w:t>NPU占用</w:t>
            </w:r>
            <w:r>
              <w:rPr>
                <w:rFonts w:ascii="黑体" w:hAnsi="黑体" w:eastAsia="黑体" w:cs="黑体"/>
                <w:b/>
                <w:sz w:val="18"/>
              </w:rPr>
              <w:br w:type="textWrapping"/>
            </w:r>
            <w:r>
              <w:rPr>
                <w:rFonts w:ascii="黑体" w:hAnsi="黑体" w:eastAsia="黑体" w:cs="黑体"/>
                <w:b/>
                <w:sz w:val="18"/>
              </w:rPr>
              <w:t>(%)</w:t>
            </w:r>
          </w:p>
        </w:tc>
      </w:tr>
      <w:tr w14:paraId="6CF53CD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tcPr>
          <w:p w14:paraId="72D4F7C7">
            <w:pPr>
              <w:spacing w:before="20" w:after="20" w:line="240" w:lineRule="auto"/>
              <w:jc w:val="left"/>
            </w:pPr>
            <w:r>
              <w:rPr>
                <w:rFonts w:ascii="宋体" w:hAnsi="宋体" w:eastAsia="宋体" w:cs="宋体"/>
                <w:b w:val="0"/>
                <w:sz w:val="18"/>
              </w:rPr>
              <w:t>YOLOv5s FP32 (CPU基线)</w:t>
            </w:r>
          </w:p>
        </w:tc>
        <w:tc>
          <w:tcPr>
            <w:tcW w:w="1020" w:type="dxa"/>
          </w:tcPr>
          <w:p w14:paraId="21D70B5E">
            <w:pPr>
              <w:spacing w:before="20" w:after="20" w:line="240" w:lineRule="auto"/>
              <w:jc w:val="center"/>
            </w:pPr>
            <w:r>
              <w:rPr>
                <w:rFonts w:ascii="宋体" w:hAnsi="宋体" w:eastAsia="宋体" w:cs="宋体"/>
                <w:b w:val="0"/>
                <w:sz w:val="18"/>
              </w:rPr>
              <w:t>87.3</w:t>
            </w:r>
          </w:p>
        </w:tc>
        <w:tc>
          <w:tcPr>
            <w:tcW w:w="1020" w:type="dxa"/>
          </w:tcPr>
          <w:p w14:paraId="2EF469F5">
            <w:pPr>
              <w:spacing w:before="20" w:after="20" w:line="240" w:lineRule="auto"/>
              <w:jc w:val="center"/>
            </w:pPr>
            <w:r>
              <w:rPr>
                <w:rFonts w:ascii="宋体" w:hAnsi="宋体" w:eastAsia="宋体" w:cs="宋体"/>
                <w:b w:val="0"/>
                <w:sz w:val="18"/>
              </w:rPr>
              <w:t>85.6</w:t>
            </w:r>
          </w:p>
        </w:tc>
        <w:tc>
          <w:tcPr>
            <w:tcW w:w="907" w:type="dxa"/>
          </w:tcPr>
          <w:p w14:paraId="6B73591D">
            <w:pPr>
              <w:spacing w:before="20" w:after="20" w:line="240" w:lineRule="auto"/>
              <w:jc w:val="center"/>
            </w:pPr>
            <w:r>
              <w:rPr>
                <w:rFonts w:ascii="宋体" w:hAnsi="宋体" w:eastAsia="宋体" w:cs="宋体"/>
                <w:b w:val="0"/>
                <w:sz w:val="18"/>
              </w:rPr>
              <w:t>84.2</w:t>
            </w:r>
          </w:p>
        </w:tc>
        <w:tc>
          <w:tcPr>
            <w:tcW w:w="907" w:type="dxa"/>
          </w:tcPr>
          <w:p w14:paraId="5EF000AD">
            <w:pPr>
              <w:spacing w:before="20" w:after="20" w:line="240" w:lineRule="auto"/>
              <w:jc w:val="center"/>
            </w:pPr>
            <w:r>
              <w:rPr>
                <w:rFonts w:ascii="宋体" w:hAnsi="宋体" w:eastAsia="宋体" w:cs="宋体"/>
                <w:b w:val="0"/>
                <w:sz w:val="18"/>
              </w:rPr>
              <w:t>82.1</w:t>
            </w:r>
          </w:p>
        </w:tc>
        <w:tc>
          <w:tcPr>
            <w:tcW w:w="907" w:type="dxa"/>
          </w:tcPr>
          <w:p w14:paraId="0393CA8E">
            <w:pPr>
              <w:spacing w:before="20" w:after="20" w:line="240" w:lineRule="auto"/>
              <w:jc w:val="center"/>
            </w:pPr>
            <w:r>
              <w:rPr>
                <w:rFonts w:ascii="宋体" w:hAnsi="宋体" w:eastAsia="宋体" w:cs="宋体"/>
                <w:b w:val="0"/>
                <w:sz w:val="18"/>
              </w:rPr>
              <w:t>380</w:t>
            </w:r>
          </w:p>
        </w:tc>
        <w:tc>
          <w:tcPr>
            <w:tcW w:w="907" w:type="dxa"/>
          </w:tcPr>
          <w:p w14:paraId="466F1920">
            <w:pPr>
              <w:spacing w:before="20" w:after="20" w:line="240" w:lineRule="auto"/>
              <w:jc w:val="center"/>
            </w:pPr>
            <w:r>
              <w:rPr>
                <w:rFonts w:ascii="宋体" w:hAnsi="宋体" w:eastAsia="宋体" w:cs="宋体"/>
                <w:b w:val="0"/>
                <w:sz w:val="18"/>
              </w:rPr>
              <w:t>14.2</w:t>
            </w:r>
          </w:p>
        </w:tc>
        <w:tc>
          <w:tcPr>
            <w:tcW w:w="907" w:type="dxa"/>
          </w:tcPr>
          <w:p w14:paraId="5A0DB009">
            <w:pPr>
              <w:spacing w:before="20" w:after="20" w:line="240" w:lineRule="auto"/>
              <w:jc w:val="center"/>
            </w:pPr>
            <w:r>
              <w:rPr>
                <w:rFonts w:ascii="宋体" w:hAnsi="宋体" w:eastAsia="宋体" w:cs="宋体"/>
                <w:b w:val="0"/>
                <w:sz w:val="18"/>
              </w:rPr>
              <w:t>0</w:t>
            </w:r>
          </w:p>
        </w:tc>
      </w:tr>
      <w:tr w14:paraId="2EFB020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shd w:val="clear" w:color="auto" w:fill="F5F5F5"/>
          </w:tcPr>
          <w:p w14:paraId="6DEFCBAA">
            <w:pPr>
              <w:spacing w:before="20" w:after="20" w:line="240" w:lineRule="auto"/>
              <w:jc w:val="left"/>
            </w:pPr>
            <w:r>
              <w:rPr>
                <w:rFonts w:ascii="宋体" w:hAnsi="宋体" w:eastAsia="宋体" w:cs="宋体"/>
                <w:b w:val="0"/>
                <w:sz w:val="18"/>
              </w:rPr>
              <w:t>YOLOv5s INT8 (NPU)</w:t>
            </w:r>
          </w:p>
        </w:tc>
        <w:tc>
          <w:tcPr>
            <w:tcW w:w="1020" w:type="dxa"/>
            <w:shd w:val="clear" w:color="auto" w:fill="F5F5F5"/>
          </w:tcPr>
          <w:p w14:paraId="2DE4F774">
            <w:pPr>
              <w:spacing w:before="20" w:after="20" w:line="240" w:lineRule="auto"/>
              <w:jc w:val="center"/>
            </w:pPr>
            <w:r>
              <w:rPr>
                <w:rFonts w:ascii="宋体" w:hAnsi="宋体" w:eastAsia="宋体" w:cs="宋体"/>
                <w:b w:val="0"/>
                <w:sz w:val="18"/>
              </w:rPr>
              <w:t>85.5</w:t>
            </w:r>
          </w:p>
        </w:tc>
        <w:tc>
          <w:tcPr>
            <w:tcW w:w="1020" w:type="dxa"/>
            <w:shd w:val="clear" w:color="auto" w:fill="F5F5F5"/>
          </w:tcPr>
          <w:p w14:paraId="344FD0DD">
            <w:pPr>
              <w:spacing w:before="20" w:after="20" w:line="240" w:lineRule="auto"/>
              <w:jc w:val="center"/>
            </w:pPr>
            <w:r>
              <w:rPr>
                <w:rFonts w:ascii="宋体" w:hAnsi="宋体" w:eastAsia="宋体" w:cs="宋体"/>
                <w:b w:val="0"/>
                <w:sz w:val="18"/>
              </w:rPr>
              <w:t>83.9</w:t>
            </w:r>
          </w:p>
        </w:tc>
        <w:tc>
          <w:tcPr>
            <w:tcW w:w="907" w:type="dxa"/>
            <w:shd w:val="clear" w:color="auto" w:fill="F5F5F5"/>
          </w:tcPr>
          <w:p w14:paraId="067C4211">
            <w:pPr>
              <w:spacing w:before="20" w:after="20" w:line="240" w:lineRule="auto"/>
              <w:jc w:val="center"/>
            </w:pPr>
            <w:r>
              <w:rPr>
                <w:rFonts w:ascii="宋体" w:hAnsi="宋体" w:eastAsia="宋体" w:cs="宋体"/>
                <w:b w:val="0"/>
                <w:sz w:val="18"/>
              </w:rPr>
              <w:t>82.5</w:t>
            </w:r>
          </w:p>
        </w:tc>
        <w:tc>
          <w:tcPr>
            <w:tcW w:w="907" w:type="dxa"/>
            <w:shd w:val="clear" w:color="auto" w:fill="F5F5F5"/>
          </w:tcPr>
          <w:p w14:paraId="2E2EC77C">
            <w:pPr>
              <w:spacing w:before="20" w:after="20" w:line="240" w:lineRule="auto"/>
              <w:jc w:val="center"/>
            </w:pPr>
            <w:r>
              <w:rPr>
                <w:rFonts w:ascii="宋体" w:hAnsi="宋体" w:eastAsia="宋体" w:cs="宋体"/>
                <w:b w:val="0"/>
                <w:sz w:val="18"/>
              </w:rPr>
              <w:t>80.3</w:t>
            </w:r>
          </w:p>
        </w:tc>
        <w:tc>
          <w:tcPr>
            <w:tcW w:w="907" w:type="dxa"/>
            <w:shd w:val="clear" w:color="auto" w:fill="F5F5F5"/>
          </w:tcPr>
          <w:p w14:paraId="0203DFFE">
            <w:pPr>
              <w:spacing w:before="20" w:after="20" w:line="240" w:lineRule="auto"/>
              <w:jc w:val="center"/>
            </w:pPr>
            <w:r>
              <w:rPr>
                <w:rFonts w:ascii="宋体" w:hAnsi="宋体" w:eastAsia="宋体" w:cs="宋体"/>
                <w:b w:val="0"/>
                <w:sz w:val="18"/>
              </w:rPr>
              <w:t>75</w:t>
            </w:r>
          </w:p>
        </w:tc>
        <w:tc>
          <w:tcPr>
            <w:tcW w:w="907" w:type="dxa"/>
            <w:shd w:val="clear" w:color="auto" w:fill="F5F5F5"/>
          </w:tcPr>
          <w:p w14:paraId="092D6EEA">
            <w:pPr>
              <w:spacing w:before="20" w:after="20" w:line="240" w:lineRule="auto"/>
              <w:jc w:val="center"/>
            </w:pPr>
            <w:r>
              <w:rPr>
                <w:rFonts w:ascii="宋体" w:hAnsi="宋体" w:eastAsia="宋体" w:cs="宋体"/>
                <w:b w:val="0"/>
                <w:sz w:val="18"/>
              </w:rPr>
              <w:t>7.8</w:t>
            </w:r>
          </w:p>
        </w:tc>
        <w:tc>
          <w:tcPr>
            <w:tcW w:w="907" w:type="dxa"/>
            <w:shd w:val="clear" w:color="auto" w:fill="F5F5F5"/>
          </w:tcPr>
          <w:p w14:paraId="1A40EEF1">
            <w:pPr>
              <w:spacing w:before="20" w:after="20" w:line="240" w:lineRule="auto"/>
              <w:jc w:val="center"/>
            </w:pPr>
            <w:r>
              <w:rPr>
                <w:rFonts w:ascii="宋体" w:hAnsi="宋体" w:eastAsia="宋体" w:cs="宋体"/>
                <w:b w:val="0"/>
                <w:sz w:val="18"/>
              </w:rPr>
              <w:t>45</w:t>
            </w:r>
          </w:p>
        </w:tc>
      </w:tr>
      <w:tr w14:paraId="50387DE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tcPr>
          <w:p w14:paraId="03D9D954">
            <w:pPr>
              <w:spacing w:before="20" w:after="20" w:line="240" w:lineRule="auto"/>
              <w:jc w:val="left"/>
            </w:pPr>
            <w:r>
              <w:rPr>
                <w:rFonts w:ascii="宋体" w:hAnsi="宋体" w:eastAsia="宋体" w:cs="宋体"/>
                <w:b w:val="0"/>
                <w:sz w:val="18"/>
              </w:rPr>
              <w:t>YOLOv5n INT8 (NPU)</w:t>
            </w:r>
          </w:p>
        </w:tc>
        <w:tc>
          <w:tcPr>
            <w:tcW w:w="1020" w:type="dxa"/>
          </w:tcPr>
          <w:p w14:paraId="1D5FDA8B">
            <w:pPr>
              <w:spacing w:before="20" w:after="20" w:line="240" w:lineRule="auto"/>
              <w:jc w:val="center"/>
            </w:pPr>
            <w:r>
              <w:rPr>
                <w:rFonts w:ascii="宋体" w:hAnsi="宋体" w:eastAsia="宋体" w:cs="宋体"/>
                <w:b w:val="0"/>
                <w:sz w:val="18"/>
              </w:rPr>
              <w:t>82.1</w:t>
            </w:r>
          </w:p>
        </w:tc>
        <w:tc>
          <w:tcPr>
            <w:tcW w:w="1020" w:type="dxa"/>
          </w:tcPr>
          <w:p w14:paraId="3DC38885">
            <w:pPr>
              <w:spacing w:before="20" w:after="20" w:line="240" w:lineRule="auto"/>
              <w:jc w:val="center"/>
            </w:pPr>
            <w:r>
              <w:rPr>
                <w:rFonts w:ascii="宋体" w:hAnsi="宋体" w:eastAsia="宋体" w:cs="宋体"/>
                <w:b w:val="0"/>
                <w:sz w:val="18"/>
              </w:rPr>
              <w:t>79.2</w:t>
            </w:r>
          </w:p>
        </w:tc>
        <w:tc>
          <w:tcPr>
            <w:tcW w:w="907" w:type="dxa"/>
          </w:tcPr>
          <w:p w14:paraId="163D2A3E">
            <w:pPr>
              <w:spacing w:before="20" w:after="20" w:line="240" w:lineRule="auto"/>
              <w:jc w:val="center"/>
            </w:pPr>
            <w:r>
              <w:rPr>
                <w:rFonts w:ascii="宋体" w:hAnsi="宋体" w:eastAsia="宋体" w:cs="宋体"/>
                <w:b w:val="0"/>
                <w:sz w:val="18"/>
              </w:rPr>
              <w:t>78.0</w:t>
            </w:r>
          </w:p>
        </w:tc>
        <w:tc>
          <w:tcPr>
            <w:tcW w:w="907" w:type="dxa"/>
          </w:tcPr>
          <w:p w14:paraId="729F73E2">
            <w:pPr>
              <w:spacing w:before="20" w:after="20" w:line="240" w:lineRule="auto"/>
              <w:jc w:val="center"/>
            </w:pPr>
            <w:r>
              <w:rPr>
                <w:rFonts w:ascii="宋体" w:hAnsi="宋体" w:eastAsia="宋体" w:cs="宋体"/>
                <w:b w:val="0"/>
                <w:sz w:val="18"/>
              </w:rPr>
              <w:t>74.6</w:t>
            </w:r>
          </w:p>
        </w:tc>
        <w:tc>
          <w:tcPr>
            <w:tcW w:w="907" w:type="dxa"/>
          </w:tcPr>
          <w:p w14:paraId="330931C3">
            <w:pPr>
              <w:spacing w:before="20" w:after="20" w:line="240" w:lineRule="auto"/>
              <w:jc w:val="center"/>
            </w:pPr>
            <w:r>
              <w:rPr>
                <w:rFonts w:ascii="宋体" w:hAnsi="宋体" w:eastAsia="宋体" w:cs="宋体"/>
                <w:b w:val="0"/>
                <w:sz w:val="18"/>
              </w:rPr>
              <w:t>48</w:t>
            </w:r>
          </w:p>
        </w:tc>
        <w:tc>
          <w:tcPr>
            <w:tcW w:w="907" w:type="dxa"/>
          </w:tcPr>
          <w:p w14:paraId="29F68B18">
            <w:pPr>
              <w:spacing w:before="20" w:after="20" w:line="240" w:lineRule="auto"/>
              <w:jc w:val="center"/>
            </w:pPr>
            <w:r>
              <w:rPr>
                <w:rFonts w:ascii="宋体" w:hAnsi="宋体" w:eastAsia="宋体" w:cs="宋体"/>
                <w:b w:val="0"/>
                <w:sz w:val="18"/>
              </w:rPr>
              <w:t>3.5</w:t>
            </w:r>
          </w:p>
        </w:tc>
        <w:tc>
          <w:tcPr>
            <w:tcW w:w="907" w:type="dxa"/>
          </w:tcPr>
          <w:p w14:paraId="3971FB2F">
            <w:pPr>
              <w:spacing w:before="20" w:after="20" w:line="240" w:lineRule="auto"/>
              <w:jc w:val="center"/>
            </w:pPr>
            <w:r>
              <w:rPr>
                <w:rFonts w:ascii="宋体" w:hAnsi="宋体" w:eastAsia="宋体" w:cs="宋体"/>
                <w:b w:val="0"/>
                <w:sz w:val="18"/>
              </w:rPr>
              <w:t>30</w:t>
            </w:r>
          </w:p>
        </w:tc>
      </w:tr>
    </w:tbl>
    <w:p w14:paraId="4EBF54F6">
      <w:pPr>
        <w:spacing w:before="0" w:after="0" w:line="276" w:lineRule="auto"/>
        <w:ind w:firstLine="420"/>
        <w:jc w:val="both"/>
      </w:pPr>
      <w:r>
        <w:rPr>
          <w:rFonts w:ascii="宋体" w:hAnsi="宋体" w:eastAsia="宋体" w:cs="宋体"/>
          <w:b w:val="0"/>
          <w:sz w:val="24"/>
        </w:rPr>
        <w:t>分析：INT8量化使推理延迟降低约5倍（380ms→75ms），mAP仅下降1.8个百分点，精度损失集中在火焰等小目标类别（AP下降1.8）。轻量版YOLOv5n延迟虽降至48ms但火焰AP仅74.6%，难以满足安全监控对火焰检测的高召回需求。YOLOv5s INT8在精度与实时性之间取得最优平衡，为本系统最终部署方案。</w:t>
      </w:r>
    </w:p>
    <w:p w14:paraId="246203A4">
      <w:pPr>
        <w:spacing w:before="0" w:after="0" w:line="276" w:lineRule="auto"/>
        <w:ind w:firstLine="420"/>
        <w:jc w:val="both"/>
      </w:pPr>
      <w:r>
        <w:rPr>
          <w:rFonts w:ascii="宋体" w:hAnsi="宋体" w:eastAsia="宋体" w:cs="宋体"/>
          <w:b w:val="0"/>
          <w:sz w:val="24"/>
        </w:rPr>
        <w:t>不同输入分辨率下的性能变化如表5-2所示。</w:t>
      </w:r>
    </w:p>
    <w:p w14:paraId="53DE1C23">
      <w:pPr>
        <w:spacing w:before="0" w:after="40" w:line="276" w:lineRule="auto"/>
        <w:ind w:firstLine="0"/>
        <w:jc w:val="center"/>
      </w:pPr>
      <w:r>
        <w:rPr>
          <w:rFonts w:ascii="宋体" w:hAnsi="宋体" w:eastAsia="宋体" w:cs="宋体"/>
          <w:b/>
          <w:sz w:val="21"/>
        </w:rPr>
        <w:t>表5-2 输入分辨率对检测性能的影响（YOLOv5s INT8）</w:t>
      </w:r>
    </w:p>
    <w:tbl>
      <w:tblPr>
        <w:tblStyle w:val="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701"/>
        <w:gridCol w:w="1587"/>
        <w:gridCol w:w="1417"/>
        <w:gridCol w:w="1417"/>
        <w:gridCol w:w="1417"/>
      </w:tblGrid>
      <w:tr w14:paraId="617BC8C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shd w:val="clear" w:color="auto" w:fill="D9E2F3"/>
          </w:tcPr>
          <w:p w14:paraId="2BC6431A">
            <w:pPr>
              <w:spacing w:before="20" w:after="20" w:line="240" w:lineRule="auto"/>
              <w:jc w:val="center"/>
            </w:pPr>
            <w:r>
              <w:rPr>
                <w:rFonts w:ascii="黑体" w:hAnsi="黑体" w:eastAsia="黑体" w:cs="黑体"/>
                <w:b/>
                <w:sz w:val="18"/>
              </w:rPr>
              <w:t>输入分辨率</w:t>
            </w:r>
          </w:p>
        </w:tc>
        <w:tc>
          <w:tcPr>
            <w:tcW w:w="1587" w:type="dxa"/>
            <w:shd w:val="clear" w:color="auto" w:fill="D9E2F3"/>
          </w:tcPr>
          <w:p w14:paraId="49357D2A">
            <w:pPr>
              <w:spacing w:before="20" w:after="20" w:line="240" w:lineRule="auto"/>
              <w:jc w:val="center"/>
            </w:pPr>
            <w:r>
              <w:rPr>
                <w:rFonts w:ascii="黑体" w:hAnsi="黑体" w:eastAsia="黑体" w:cs="黑体"/>
                <w:b/>
                <w:sz w:val="18"/>
              </w:rPr>
              <w:t>mAP@0.5 (%)</w:t>
            </w:r>
          </w:p>
        </w:tc>
        <w:tc>
          <w:tcPr>
            <w:tcW w:w="1417" w:type="dxa"/>
            <w:shd w:val="clear" w:color="auto" w:fill="D9E2F3"/>
          </w:tcPr>
          <w:p w14:paraId="72324026">
            <w:pPr>
              <w:spacing w:before="20" w:after="20" w:line="240" w:lineRule="auto"/>
              <w:jc w:val="center"/>
            </w:pPr>
            <w:r>
              <w:rPr>
                <w:rFonts w:ascii="黑体" w:hAnsi="黑体" w:eastAsia="黑体" w:cs="黑体"/>
                <w:b/>
                <w:sz w:val="18"/>
              </w:rPr>
              <w:t>推理延迟 (ms)</w:t>
            </w:r>
          </w:p>
        </w:tc>
        <w:tc>
          <w:tcPr>
            <w:tcW w:w="1417" w:type="dxa"/>
            <w:shd w:val="clear" w:color="auto" w:fill="D9E2F3"/>
          </w:tcPr>
          <w:p w14:paraId="7098CD2B">
            <w:pPr>
              <w:spacing w:before="20" w:after="20" w:line="240" w:lineRule="auto"/>
              <w:jc w:val="center"/>
            </w:pPr>
            <w:r>
              <w:rPr>
                <w:rFonts w:ascii="黑体" w:hAnsi="黑体" w:eastAsia="黑体" w:cs="黑体"/>
                <w:b/>
                <w:sz w:val="18"/>
              </w:rPr>
              <w:t>小目标AP (%)</w:t>
            </w:r>
          </w:p>
        </w:tc>
        <w:tc>
          <w:tcPr>
            <w:tcW w:w="1417" w:type="dxa"/>
            <w:shd w:val="clear" w:color="auto" w:fill="D9E2F3"/>
          </w:tcPr>
          <w:p w14:paraId="261BF285">
            <w:pPr>
              <w:spacing w:before="20" w:after="20" w:line="240" w:lineRule="auto"/>
              <w:jc w:val="center"/>
            </w:pPr>
            <w:r>
              <w:rPr>
                <w:rFonts w:ascii="黑体" w:hAnsi="黑体" w:eastAsia="黑体" w:cs="黑体"/>
                <w:b/>
                <w:sz w:val="18"/>
              </w:rPr>
              <w:t>显存增量 (MB)</w:t>
            </w:r>
          </w:p>
        </w:tc>
      </w:tr>
      <w:tr w14:paraId="477B7C7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tcPr>
          <w:p w14:paraId="5AAF020B">
            <w:pPr>
              <w:spacing w:before="20" w:after="20" w:line="240" w:lineRule="auto"/>
              <w:jc w:val="left"/>
            </w:pPr>
            <w:r>
              <w:rPr>
                <w:rFonts w:ascii="宋体" w:hAnsi="宋体" w:eastAsia="宋体" w:cs="宋体"/>
                <w:b w:val="0"/>
                <w:sz w:val="18"/>
              </w:rPr>
              <w:t>640×640</w:t>
            </w:r>
          </w:p>
        </w:tc>
        <w:tc>
          <w:tcPr>
            <w:tcW w:w="1587" w:type="dxa"/>
          </w:tcPr>
          <w:p w14:paraId="745A81F8">
            <w:pPr>
              <w:spacing w:before="20" w:after="20" w:line="240" w:lineRule="auto"/>
              <w:jc w:val="center"/>
            </w:pPr>
            <w:r>
              <w:rPr>
                <w:rFonts w:ascii="宋体" w:hAnsi="宋体" w:eastAsia="宋体" w:cs="宋体"/>
                <w:b w:val="0"/>
                <w:sz w:val="18"/>
              </w:rPr>
              <w:t>84.3</w:t>
            </w:r>
          </w:p>
        </w:tc>
        <w:tc>
          <w:tcPr>
            <w:tcW w:w="1417" w:type="dxa"/>
          </w:tcPr>
          <w:p w14:paraId="58BBAA2A">
            <w:pPr>
              <w:spacing w:before="20" w:after="20" w:line="240" w:lineRule="auto"/>
              <w:jc w:val="center"/>
            </w:pPr>
            <w:r>
              <w:rPr>
                <w:rFonts w:ascii="宋体" w:hAnsi="宋体" w:eastAsia="宋体" w:cs="宋体"/>
                <w:b w:val="0"/>
                <w:sz w:val="18"/>
              </w:rPr>
              <w:t>52</w:t>
            </w:r>
          </w:p>
        </w:tc>
        <w:tc>
          <w:tcPr>
            <w:tcW w:w="1417" w:type="dxa"/>
          </w:tcPr>
          <w:p w14:paraId="1720ADF6">
            <w:pPr>
              <w:spacing w:before="20" w:after="20" w:line="240" w:lineRule="auto"/>
              <w:jc w:val="center"/>
            </w:pPr>
            <w:r>
              <w:rPr>
                <w:rFonts w:ascii="宋体" w:hAnsi="宋体" w:eastAsia="宋体" w:cs="宋体"/>
                <w:b w:val="0"/>
                <w:sz w:val="18"/>
              </w:rPr>
              <w:t>68.2</w:t>
            </w:r>
          </w:p>
        </w:tc>
        <w:tc>
          <w:tcPr>
            <w:tcW w:w="1417" w:type="dxa"/>
          </w:tcPr>
          <w:p w14:paraId="237D1EE9">
            <w:pPr>
              <w:spacing w:before="20" w:after="20" w:line="240" w:lineRule="auto"/>
              <w:jc w:val="center"/>
            </w:pPr>
            <w:r>
              <w:rPr>
                <w:rFonts w:ascii="宋体" w:hAnsi="宋体" w:eastAsia="宋体" w:cs="宋体"/>
                <w:b w:val="0"/>
                <w:sz w:val="18"/>
              </w:rPr>
              <w:t>0</w:t>
            </w:r>
          </w:p>
        </w:tc>
      </w:tr>
      <w:tr w14:paraId="562A7F6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shd w:val="clear" w:color="auto" w:fill="F5F5F5"/>
          </w:tcPr>
          <w:p w14:paraId="29FD3E7D">
            <w:pPr>
              <w:spacing w:before="20" w:after="20" w:line="240" w:lineRule="auto"/>
              <w:jc w:val="left"/>
            </w:pPr>
            <w:r>
              <w:rPr>
                <w:rFonts w:ascii="宋体" w:hAnsi="宋体" w:eastAsia="宋体" w:cs="宋体"/>
                <w:b w:val="0"/>
                <w:sz w:val="18"/>
              </w:rPr>
              <w:t>960×960</w:t>
            </w:r>
          </w:p>
        </w:tc>
        <w:tc>
          <w:tcPr>
            <w:tcW w:w="1587" w:type="dxa"/>
            <w:shd w:val="clear" w:color="auto" w:fill="F5F5F5"/>
          </w:tcPr>
          <w:p w14:paraId="47F90359">
            <w:pPr>
              <w:spacing w:before="20" w:after="20" w:line="240" w:lineRule="auto"/>
              <w:jc w:val="center"/>
            </w:pPr>
            <w:r>
              <w:rPr>
                <w:rFonts w:ascii="宋体" w:hAnsi="宋体" w:eastAsia="宋体" w:cs="宋体"/>
                <w:b w:val="0"/>
                <w:sz w:val="18"/>
              </w:rPr>
              <w:t>85.5</w:t>
            </w:r>
          </w:p>
        </w:tc>
        <w:tc>
          <w:tcPr>
            <w:tcW w:w="1417" w:type="dxa"/>
            <w:shd w:val="clear" w:color="auto" w:fill="F5F5F5"/>
          </w:tcPr>
          <w:p w14:paraId="417BF5D1">
            <w:pPr>
              <w:spacing w:before="20" w:after="20" w:line="240" w:lineRule="auto"/>
              <w:jc w:val="center"/>
            </w:pPr>
            <w:r>
              <w:rPr>
                <w:rFonts w:ascii="宋体" w:hAnsi="宋体" w:eastAsia="宋体" w:cs="宋体"/>
                <w:b w:val="0"/>
                <w:sz w:val="18"/>
              </w:rPr>
              <w:t>75</w:t>
            </w:r>
          </w:p>
        </w:tc>
        <w:tc>
          <w:tcPr>
            <w:tcW w:w="1417" w:type="dxa"/>
            <w:shd w:val="clear" w:color="auto" w:fill="F5F5F5"/>
          </w:tcPr>
          <w:p w14:paraId="0B519381">
            <w:pPr>
              <w:spacing w:before="20" w:after="20" w:line="240" w:lineRule="auto"/>
              <w:jc w:val="center"/>
            </w:pPr>
            <w:r>
              <w:rPr>
                <w:rFonts w:ascii="宋体" w:hAnsi="宋体" w:eastAsia="宋体" w:cs="宋体"/>
                <w:b w:val="0"/>
                <w:sz w:val="18"/>
              </w:rPr>
              <w:t>73.9</w:t>
            </w:r>
          </w:p>
        </w:tc>
        <w:tc>
          <w:tcPr>
            <w:tcW w:w="1417" w:type="dxa"/>
            <w:shd w:val="clear" w:color="auto" w:fill="F5F5F5"/>
          </w:tcPr>
          <w:p w14:paraId="12A0F94C">
            <w:pPr>
              <w:spacing w:before="20" w:after="20" w:line="240" w:lineRule="auto"/>
              <w:jc w:val="center"/>
            </w:pPr>
            <w:r>
              <w:rPr>
                <w:rFonts w:ascii="宋体" w:hAnsi="宋体" w:eastAsia="宋体" w:cs="宋体"/>
                <w:b w:val="0"/>
                <w:sz w:val="18"/>
              </w:rPr>
              <w:t>135</w:t>
            </w:r>
          </w:p>
        </w:tc>
      </w:tr>
      <w:tr w14:paraId="753B8A2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tcPr>
          <w:p w14:paraId="2446A877">
            <w:pPr>
              <w:spacing w:before="20" w:after="20" w:line="240" w:lineRule="auto"/>
              <w:jc w:val="left"/>
            </w:pPr>
            <w:r>
              <w:rPr>
                <w:rFonts w:ascii="宋体" w:hAnsi="宋体" w:eastAsia="宋体" w:cs="宋体"/>
                <w:b w:val="0"/>
                <w:sz w:val="18"/>
              </w:rPr>
              <w:t>1280×1280</w:t>
            </w:r>
          </w:p>
        </w:tc>
        <w:tc>
          <w:tcPr>
            <w:tcW w:w="1587" w:type="dxa"/>
          </w:tcPr>
          <w:p w14:paraId="1C47F2E1">
            <w:pPr>
              <w:spacing w:before="20" w:after="20" w:line="240" w:lineRule="auto"/>
              <w:jc w:val="center"/>
            </w:pPr>
            <w:r>
              <w:rPr>
                <w:rFonts w:ascii="宋体" w:hAnsi="宋体" w:eastAsia="宋体" w:cs="宋体"/>
                <w:b w:val="0"/>
                <w:sz w:val="18"/>
              </w:rPr>
              <w:t>86.8</w:t>
            </w:r>
          </w:p>
        </w:tc>
        <w:tc>
          <w:tcPr>
            <w:tcW w:w="1417" w:type="dxa"/>
          </w:tcPr>
          <w:p w14:paraId="688AFEE9">
            <w:pPr>
              <w:spacing w:before="20" w:after="20" w:line="240" w:lineRule="auto"/>
              <w:jc w:val="center"/>
            </w:pPr>
            <w:r>
              <w:rPr>
                <w:rFonts w:ascii="宋体" w:hAnsi="宋体" w:eastAsia="宋体" w:cs="宋体"/>
                <w:b w:val="0"/>
                <w:sz w:val="18"/>
              </w:rPr>
              <w:t>210</w:t>
            </w:r>
          </w:p>
        </w:tc>
        <w:tc>
          <w:tcPr>
            <w:tcW w:w="1417" w:type="dxa"/>
          </w:tcPr>
          <w:p w14:paraId="7FD70C0F">
            <w:pPr>
              <w:spacing w:before="20" w:after="20" w:line="240" w:lineRule="auto"/>
              <w:jc w:val="center"/>
            </w:pPr>
            <w:r>
              <w:rPr>
                <w:rFonts w:ascii="宋体" w:hAnsi="宋体" w:eastAsia="宋体" w:cs="宋体"/>
                <w:b w:val="0"/>
                <w:sz w:val="18"/>
              </w:rPr>
              <w:t>79.1</w:t>
            </w:r>
          </w:p>
        </w:tc>
        <w:tc>
          <w:tcPr>
            <w:tcW w:w="1417" w:type="dxa"/>
          </w:tcPr>
          <w:p w14:paraId="69573A9B">
            <w:pPr>
              <w:spacing w:before="20" w:after="20" w:line="240" w:lineRule="auto"/>
              <w:jc w:val="center"/>
            </w:pPr>
            <w:r>
              <w:rPr>
                <w:rFonts w:ascii="宋体" w:hAnsi="宋体" w:eastAsia="宋体" w:cs="宋体"/>
                <w:b w:val="0"/>
                <w:sz w:val="18"/>
              </w:rPr>
              <w:t>395</w:t>
            </w:r>
          </w:p>
        </w:tc>
      </w:tr>
    </w:tbl>
    <w:p w14:paraId="16DBCE9A">
      <w:pPr>
        <w:spacing w:before="0" w:after="0" w:line="276" w:lineRule="auto"/>
        <w:ind w:firstLine="420"/>
        <w:jc w:val="both"/>
      </w:pPr>
      <w:r>
        <w:rPr>
          <w:rFonts w:ascii="宋体" w:hAnsi="宋体" w:eastAsia="宋体" w:cs="宋体"/>
          <w:b w:val="0"/>
          <w:sz w:val="24"/>
        </w:rPr>
        <w:t>960×960分辨率在延迟可控（75ms）的前提下将小目标AP提升5.7个百分点，为系统选用配置。</w:t>
      </w:r>
    </w:p>
    <w:p w14:paraId="4CC34815">
      <w:pPr>
        <w:spacing w:before="0" w:after="0" w:line="276" w:lineRule="auto"/>
        <w:ind w:firstLine="0"/>
        <w:jc w:val="both"/>
      </w:pPr>
    </w:p>
    <w:p w14:paraId="2AEDA2D4">
      <w:pPr>
        <w:spacing w:before="0" w:after="0" w:line="276" w:lineRule="auto"/>
        <w:ind w:firstLine="0"/>
        <w:jc w:val="center"/>
      </w:pPr>
      <w:r>
        <w:rPr>
          <w:rFonts w:ascii="宋体" w:hAnsi="宋体" w:eastAsia="宋体" w:cs="宋体"/>
          <w:b w:val="0"/>
          <w:sz w:val="21"/>
        </w:rPr>
        <w:t>【图5-1 请在此处插入图片】三种模型配置的mAP-延迟散点图及不同分辨率下火焰检测效果对比</w:t>
      </w:r>
    </w:p>
    <w:p w14:paraId="7B77385D">
      <w:pPr>
        <w:spacing w:before="0" w:after="0" w:line="276" w:lineRule="auto"/>
        <w:ind w:firstLine="0"/>
        <w:jc w:val="both"/>
      </w:pPr>
    </w:p>
    <w:p w14:paraId="10E665B2">
      <w:pPr>
        <w:spacing w:before="0" w:after="0" w:line="276" w:lineRule="auto"/>
        <w:ind w:firstLine="0"/>
        <w:jc w:val="both"/>
      </w:pPr>
      <w:r>
        <w:rPr>
          <w:rFonts w:ascii="黑体" w:hAnsi="黑体" w:eastAsia="黑体" w:cs="黑体"/>
          <w:b w:val="0"/>
          <w:sz w:val="24"/>
        </w:rPr>
        <w:t>5.1.2 多模态大模型分析能力对比</w:t>
      </w:r>
    </w:p>
    <w:p w14:paraId="6E19F669">
      <w:pPr>
        <w:spacing w:before="0" w:after="0" w:line="276" w:lineRule="auto"/>
        <w:ind w:firstLine="420"/>
        <w:jc w:val="both"/>
      </w:pPr>
      <w:r>
        <w:rPr>
          <w:rFonts w:ascii="宋体" w:hAnsi="宋体" w:eastAsia="宋体" w:cs="宋体"/>
          <w:b w:val="0"/>
          <w:sz w:val="24"/>
        </w:rPr>
        <w:t>选取200张真实监控报警截图（含单人违规、多人交互、火焰、正常四类场景各50张），对比Qwen2.5-VL 7B与GPT-4V、LLaVA-1.6的分析质量。评价采用人工标注基准，从场景描述、等级判定、处置建议、中文质量四个维度评分，结果如表5-3所示。</w:t>
      </w:r>
    </w:p>
    <w:p w14:paraId="582F8F85">
      <w:pPr>
        <w:spacing w:before="0" w:after="40" w:line="276" w:lineRule="auto"/>
        <w:ind w:firstLine="0"/>
        <w:jc w:val="center"/>
      </w:pPr>
      <w:r>
        <w:rPr>
          <w:rFonts w:ascii="宋体" w:hAnsi="宋体" w:eastAsia="宋体" w:cs="宋体"/>
          <w:b/>
          <w:sz w:val="21"/>
        </w:rPr>
        <w:t>表5-3 多模态大模型分析能力对比</w:t>
      </w:r>
    </w:p>
    <w:tbl>
      <w:tblPr>
        <w:tblStyle w:val="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984"/>
        <w:gridCol w:w="1701"/>
        <w:gridCol w:w="1417"/>
        <w:gridCol w:w="1417"/>
      </w:tblGrid>
      <w:tr w14:paraId="2F1149C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Ex>
        <w:trPr>
          <w:jc w:val="center"/>
        </w:trPr>
        <w:tc>
          <w:tcPr>
            <w:tcW w:w="1984" w:type="dxa"/>
            <w:shd w:val="clear" w:color="auto" w:fill="D9E2F3"/>
          </w:tcPr>
          <w:p w14:paraId="36598C1E">
            <w:pPr>
              <w:spacing w:before="20" w:after="20" w:line="240" w:lineRule="auto"/>
              <w:jc w:val="center"/>
            </w:pPr>
            <w:r>
              <w:rPr>
                <w:rFonts w:ascii="黑体" w:hAnsi="黑体" w:eastAsia="黑体" w:cs="黑体"/>
                <w:b/>
                <w:sz w:val="18"/>
              </w:rPr>
              <w:t>评价指标</w:t>
            </w:r>
          </w:p>
        </w:tc>
        <w:tc>
          <w:tcPr>
            <w:tcW w:w="1701" w:type="dxa"/>
            <w:shd w:val="clear" w:color="auto" w:fill="D9E2F3"/>
          </w:tcPr>
          <w:p w14:paraId="7347F72D">
            <w:pPr>
              <w:spacing w:before="20" w:after="20" w:line="240" w:lineRule="auto"/>
              <w:jc w:val="center"/>
            </w:pPr>
            <w:r>
              <w:rPr>
                <w:rFonts w:ascii="黑体" w:hAnsi="黑体" w:eastAsia="黑体" w:cs="黑体"/>
                <w:b/>
                <w:sz w:val="18"/>
              </w:rPr>
              <w:t>Qwen2.5-VL 7B</w:t>
            </w:r>
            <w:r>
              <w:rPr>
                <w:rFonts w:ascii="黑体" w:hAnsi="黑体" w:eastAsia="黑体" w:cs="黑体"/>
                <w:b/>
                <w:sz w:val="18"/>
              </w:rPr>
              <w:br w:type="textWrapping"/>
            </w:r>
            <w:r>
              <w:rPr>
                <w:rFonts w:ascii="黑体" w:hAnsi="黑体" w:eastAsia="黑体" w:cs="黑体"/>
                <w:b/>
                <w:sz w:val="18"/>
              </w:rPr>
              <w:t>(本系统)</w:t>
            </w:r>
          </w:p>
        </w:tc>
        <w:tc>
          <w:tcPr>
            <w:tcW w:w="1417" w:type="dxa"/>
            <w:shd w:val="clear" w:color="auto" w:fill="D9E2F3"/>
          </w:tcPr>
          <w:p w14:paraId="1ABC0F9F">
            <w:pPr>
              <w:spacing w:before="20" w:after="20" w:line="240" w:lineRule="auto"/>
              <w:jc w:val="center"/>
            </w:pPr>
            <w:r>
              <w:rPr>
                <w:rFonts w:ascii="黑体" w:hAnsi="黑体" w:eastAsia="黑体" w:cs="黑体"/>
                <w:b/>
                <w:sz w:val="18"/>
              </w:rPr>
              <w:t>GPT-4V</w:t>
            </w:r>
            <w:r>
              <w:rPr>
                <w:rFonts w:ascii="黑体" w:hAnsi="黑体" w:eastAsia="黑体" w:cs="黑体"/>
                <w:b/>
                <w:sz w:val="18"/>
              </w:rPr>
              <w:br w:type="textWrapping"/>
            </w:r>
            <w:r>
              <w:rPr>
                <w:rFonts w:ascii="黑体" w:hAnsi="黑体" w:eastAsia="黑体" w:cs="黑体"/>
                <w:b/>
                <w:sz w:val="18"/>
              </w:rPr>
              <w:t>(云端)</w:t>
            </w:r>
          </w:p>
        </w:tc>
        <w:tc>
          <w:tcPr>
            <w:tcW w:w="1417" w:type="dxa"/>
            <w:shd w:val="clear" w:color="auto" w:fill="D9E2F3"/>
          </w:tcPr>
          <w:p w14:paraId="0B0A43A4">
            <w:pPr>
              <w:spacing w:before="20" w:after="20" w:line="240" w:lineRule="auto"/>
              <w:jc w:val="center"/>
            </w:pPr>
            <w:r>
              <w:rPr>
                <w:rFonts w:ascii="黑体" w:hAnsi="黑体" w:eastAsia="黑体" w:cs="黑体"/>
                <w:b/>
                <w:sz w:val="18"/>
              </w:rPr>
              <w:t>LLaVA-1.6</w:t>
            </w:r>
            <w:r>
              <w:rPr>
                <w:rFonts w:ascii="黑体" w:hAnsi="黑体" w:eastAsia="黑体" w:cs="黑体"/>
                <w:b/>
                <w:sz w:val="18"/>
              </w:rPr>
              <w:br w:type="textWrapping"/>
            </w:r>
            <w:r>
              <w:rPr>
                <w:rFonts w:ascii="黑体" w:hAnsi="黑体" w:eastAsia="黑体" w:cs="黑体"/>
                <w:b/>
                <w:sz w:val="18"/>
              </w:rPr>
              <w:t>(开源)</w:t>
            </w:r>
          </w:p>
        </w:tc>
      </w:tr>
      <w:tr w14:paraId="57DF9ED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984" w:type="dxa"/>
          </w:tcPr>
          <w:p w14:paraId="27874C75">
            <w:pPr>
              <w:spacing w:before="20" w:after="20" w:line="240" w:lineRule="auto"/>
              <w:jc w:val="left"/>
            </w:pPr>
            <w:r>
              <w:rPr>
                <w:rFonts w:ascii="宋体" w:hAnsi="宋体" w:eastAsia="宋体" w:cs="宋体"/>
                <w:b w:val="0"/>
                <w:sz w:val="18"/>
              </w:rPr>
              <w:t>场景描述准确率 (%)</w:t>
            </w:r>
          </w:p>
        </w:tc>
        <w:tc>
          <w:tcPr>
            <w:tcW w:w="1701" w:type="dxa"/>
          </w:tcPr>
          <w:p w14:paraId="39BEAA69">
            <w:pPr>
              <w:spacing w:before="20" w:after="20" w:line="240" w:lineRule="auto"/>
              <w:jc w:val="center"/>
            </w:pPr>
            <w:r>
              <w:rPr>
                <w:rFonts w:ascii="宋体" w:hAnsi="宋体" w:eastAsia="宋体" w:cs="宋体"/>
                <w:b w:val="0"/>
                <w:sz w:val="18"/>
              </w:rPr>
              <w:t>91.5</w:t>
            </w:r>
          </w:p>
        </w:tc>
        <w:tc>
          <w:tcPr>
            <w:tcW w:w="1417" w:type="dxa"/>
          </w:tcPr>
          <w:p w14:paraId="15F0320F">
            <w:pPr>
              <w:spacing w:before="20" w:after="20" w:line="240" w:lineRule="auto"/>
              <w:jc w:val="center"/>
            </w:pPr>
            <w:r>
              <w:rPr>
                <w:rFonts w:ascii="宋体" w:hAnsi="宋体" w:eastAsia="宋体" w:cs="宋体"/>
                <w:b w:val="0"/>
                <w:sz w:val="18"/>
              </w:rPr>
              <w:t>95.0</w:t>
            </w:r>
          </w:p>
        </w:tc>
        <w:tc>
          <w:tcPr>
            <w:tcW w:w="1417" w:type="dxa"/>
          </w:tcPr>
          <w:p w14:paraId="2C2B58F8">
            <w:pPr>
              <w:spacing w:before="20" w:after="20" w:line="240" w:lineRule="auto"/>
              <w:jc w:val="center"/>
            </w:pPr>
            <w:r>
              <w:rPr>
                <w:rFonts w:ascii="宋体" w:hAnsi="宋体" w:eastAsia="宋体" w:cs="宋体"/>
                <w:b w:val="0"/>
                <w:sz w:val="18"/>
              </w:rPr>
              <w:t>78.0</w:t>
            </w:r>
          </w:p>
        </w:tc>
      </w:tr>
      <w:tr w14:paraId="2B1AAF5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984" w:type="dxa"/>
            <w:shd w:val="clear" w:color="auto" w:fill="F5F5F5"/>
          </w:tcPr>
          <w:p w14:paraId="767E00FF">
            <w:pPr>
              <w:spacing w:before="20" w:after="20" w:line="240" w:lineRule="auto"/>
              <w:jc w:val="left"/>
            </w:pPr>
            <w:r>
              <w:rPr>
                <w:rFonts w:ascii="宋体" w:hAnsi="宋体" w:eastAsia="宋体" w:cs="宋体"/>
                <w:b w:val="0"/>
                <w:sz w:val="18"/>
              </w:rPr>
              <w:t>严重等级判定正确率 (%)</w:t>
            </w:r>
          </w:p>
        </w:tc>
        <w:tc>
          <w:tcPr>
            <w:tcW w:w="1701" w:type="dxa"/>
            <w:shd w:val="clear" w:color="auto" w:fill="F5F5F5"/>
          </w:tcPr>
          <w:p w14:paraId="338AB042">
            <w:pPr>
              <w:spacing w:before="20" w:after="20" w:line="240" w:lineRule="auto"/>
              <w:jc w:val="center"/>
            </w:pPr>
            <w:r>
              <w:rPr>
                <w:rFonts w:ascii="宋体" w:hAnsi="宋体" w:eastAsia="宋体" w:cs="宋体"/>
                <w:b w:val="0"/>
                <w:sz w:val="18"/>
              </w:rPr>
              <w:t>89.0</w:t>
            </w:r>
          </w:p>
        </w:tc>
        <w:tc>
          <w:tcPr>
            <w:tcW w:w="1417" w:type="dxa"/>
            <w:shd w:val="clear" w:color="auto" w:fill="F5F5F5"/>
          </w:tcPr>
          <w:p w14:paraId="1EA4FFA3">
            <w:pPr>
              <w:spacing w:before="20" w:after="20" w:line="240" w:lineRule="auto"/>
              <w:jc w:val="center"/>
            </w:pPr>
            <w:r>
              <w:rPr>
                <w:rFonts w:ascii="宋体" w:hAnsi="宋体" w:eastAsia="宋体" w:cs="宋体"/>
                <w:b w:val="0"/>
                <w:sz w:val="18"/>
              </w:rPr>
              <w:t>91.5</w:t>
            </w:r>
          </w:p>
        </w:tc>
        <w:tc>
          <w:tcPr>
            <w:tcW w:w="1417" w:type="dxa"/>
            <w:shd w:val="clear" w:color="auto" w:fill="F5F5F5"/>
          </w:tcPr>
          <w:p w14:paraId="2EB91F62">
            <w:pPr>
              <w:spacing w:before="20" w:after="20" w:line="240" w:lineRule="auto"/>
              <w:jc w:val="center"/>
            </w:pPr>
            <w:r>
              <w:rPr>
                <w:rFonts w:ascii="宋体" w:hAnsi="宋体" w:eastAsia="宋体" w:cs="宋体"/>
                <w:b w:val="0"/>
                <w:sz w:val="18"/>
              </w:rPr>
              <w:t>72.5</w:t>
            </w:r>
          </w:p>
        </w:tc>
      </w:tr>
      <w:tr w14:paraId="60735A2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984" w:type="dxa"/>
          </w:tcPr>
          <w:p w14:paraId="37A48EC6">
            <w:pPr>
              <w:spacing w:before="20" w:after="20" w:line="240" w:lineRule="auto"/>
              <w:jc w:val="left"/>
            </w:pPr>
            <w:r>
              <w:rPr>
                <w:rFonts w:ascii="宋体" w:hAnsi="宋体" w:eastAsia="宋体" w:cs="宋体"/>
                <w:b w:val="0"/>
                <w:sz w:val="18"/>
              </w:rPr>
              <w:t>处置建议可行性 (%)</w:t>
            </w:r>
          </w:p>
        </w:tc>
        <w:tc>
          <w:tcPr>
            <w:tcW w:w="1701" w:type="dxa"/>
          </w:tcPr>
          <w:p w14:paraId="0A57F902">
            <w:pPr>
              <w:spacing w:before="20" w:after="20" w:line="240" w:lineRule="auto"/>
              <w:jc w:val="center"/>
            </w:pPr>
            <w:r>
              <w:rPr>
                <w:rFonts w:ascii="宋体" w:hAnsi="宋体" w:eastAsia="宋体" w:cs="宋体"/>
                <w:b w:val="0"/>
                <w:sz w:val="18"/>
              </w:rPr>
              <w:t>87.0</w:t>
            </w:r>
          </w:p>
        </w:tc>
        <w:tc>
          <w:tcPr>
            <w:tcW w:w="1417" w:type="dxa"/>
          </w:tcPr>
          <w:p w14:paraId="7509BEDC">
            <w:pPr>
              <w:spacing w:before="20" w:after="20" w:line="240" w:lineRule="auto"/>
              <w:jc w:val="center"/>
            </w:pPr>
            <w:r>
              <w:rPr>
                <w:rFonts w:ascii="宋体" w:hAnsi="宋体" w:eastAsia="宋体" w:cs="宋体"/>
                <w:b w:val="0"/>
                <w:sz w:val="18"/>
              </w:rPr>
              <w:t>90.0</w:t>
            </w:r>
          </w:p>
        </w:tc>
        <w:tc>
          <w:tcPr>
            <w:tcW w:w="1417" w:type="dxa"/>
          </w:tcPr>
          <w:p w14:paraId="5A04C22A">
            <w:pPr>
              <w:spacing w:before="20" w:after="20" w:line="240" w:lineRule="auto"/>
              <w:jc w:val="center"/>
            </w:pPr>
            <w:r>
              <w:rPr>
                <w:rFonts w:ascii="宋体" w:hAnsi="宋体" w:eastAsia="宋体" w:cs="宋体"/>
                <w:b w:val="0"/>
                <w:sz w:val="18"/>
              </w:rPr>
              <w:t>68.0</w:t>
            </w:r>
          </w:p>
        </w:tc>
      </w:tr>
      <w:tr w14:paraId="27F54129">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984" w:type="dxa"/>
            <w:shd w:val="clear" w:color="auto" w:fill="F5F5F5"/>
          </w:tcPr>
          <w:p w14:paraId="778D1BC5">
            <w:pPr>
              <w:spacing w:before="20" w:after="20" w:line="240" w:lineRule="auto"/>
              <w:jc w:val="left"/>
            </w:pPr>
            <w:r>
              <w:rPr>
                <w:rFonts w:ascii="宋体" w:hAnsi="宋体" w:eastAsia="宋体" w:cs="宋体"/>
                <w:b w:val="0"/>
                <w:sz w:val="18"/>
              </w:rPr>
              <w:t>中文流畅度 (1-5分)</w:t>
            </w:r>
          </w:p>
        </w:tc>
        <w:tc>
          <w:tcPr>
            <w:tcW w:w="1701" w:type="dxa"/>
            <w:shd w:val="clear" w:color="auto" w:fill="F5F5F5"/>
          </w:tcPr>
          <w:p w14:paraId="32BC63A2">
            <w:pPr>
              <w:spacing w:before="20" w:after="20" w:line="240" w:lineRule="auto"/>
              <w:jc w:val="center"/>
            </w:pPr>
            <w:r>
              <w:rPr>
                <w:rFonts w:ascii="宋体" w:hAnsi="宋体" w:eastAsia="宋体" w:cs="宋体"/>
                <w:b w:val="0"/>
                <w:sz w:val="18"/>
              </w:rPr>
              <w:t>4.3</w:t>
            </w:r>
          </w:p>
        </w:tc>
        <w:tc>
          <w:tcPr>
            <w:tcW w:w="1417" w:type="dxa"/>
            <w:shd w:val="clear" w:color="auto" w:fill="F5F5F5"/>
          </w:tcPr>
          <w:p w14:paraId="7C33EF1B">
            <w:pPr>
              <w:spacing w:before="20" w:after="20" w:line="240" w:lineRule="auto"/>
              <w:jc w:val="center"/>
            </w:pPr>
            <w:r>
              <w:rPr>
                <w:rFonts w:ascii="宋体" w:hAnsi="宋体" w:eastAsia="宋体" w:cs="宋体"/>
                <w:b w:val="0"/>
                <w:sz w:val="18"/>
              </w:rPr>
              <w:t>3.8</w:t>
            </w:r>
          </w:p>
        </w:tc>
        <w:tc>
          <w:tcPr>
            <w:tcW w:w="1417" w:type="dxa"/>
            <w:shd w:val="clear" w:color="auto" w:fill="F5F5F5"/>
          </w:tcPr>
          <w:p w14:paraId="2DFDC708">
            <w:pPr>
              <w:spacing w:before="20" w:after="20" w:line="240" w:lineRule="auto"/>
              <w:jc w:val="center"/>
            </w:pPr>
            <w:r>
              <w:rPr>
                <w:rFonts w:ascii="宋体" w:hAnsi="宋体" w:eastAsia="宋体" w:cs="宋体"/>
                <w:b w:val="0"/>
                <w:sz w:val="18"/>
              </w:rPr>
              <w:t>3.2</w:t>
            </w:r>
          </w:p>
        </w:tc>
      </w:tr>
      <w:tr w14:paraId="349C841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984" w:type="dxa"/>
          </w:tcPr>
          <w:p w14:paraId="61147F44">
            <w:pPr>
              <w:spacing w:before="20" w:after="20" w:line="240" w:lineRule="auto"/>
              <w:jc w:val="left"/>
            </w:pPr>
            <w:r>
              <w:rPr>
                <w:rFonts w:ascii="宋体" w:hAnsi="宋体" w:eastAsia="宋体" w:cs="宋体"/>
                <w:b w:val="0"/>
                <w:sz w:val="18"/>
              </w:rPr>
              <w:t>单次推理耗时 (s)</w:t>
            </w:r>
          </w:p>
        </w:tc>
        <w:tc>
          <w:tcPr>
            <w:tcW w:w="1701" w:type="dxa"/>
          </w:tcPr>
          <w:p w14:paraId="139A4C4F">
            <w:pPr>
              <w:spacing w:before="20" w:after="20" w:line="240" w:lineRule="auto"/>
              <w:jc w:val="center"/>
            </w:pPr>
            <w:r>
              <w:rPr>
                <w:rFonts w:ascii="宋体" w:hAnsi="宋体" w:eastAsia="宋体" w:cs="宋体"/>
                <w:b w:val="0"/>
                <w:sz w:val="18"/>
              </w:rPr>
              <w:t>3.8</w:t>
            </w:r>
          </w:p>
        </w:tc>
        <w:tc>
          <w:tcPr>
            <w:tcW w:w="1417" w:type="dxa"/>
          </w:tcPr>
          <w:p w14:paraId="1168FA3F">
            <w:pPr>
              <w:spacing w:before="20" w:after="20" w:line="240" w:lineRule="auto"/>
              <w:jc w:val="center"/>
            </w:pPr>
            <w:r>
              <w:rPr>
                <w:rFonts w:ascii="宋体" w:hAnsi="宋体" w:eastAsia="宋体" w:cs="宋体"/>
                <w:b w:val="0"/>
                <w:sz w:val="18"/>
              </w:rPr>
              <w:t>2.1</w:t>
            </w:r>
          </w:p>
        </w:tc>
        <w:tc>
          <w:tcPr>
            <w:tcW w:w="1417" w:type="dxa"/>
          </w:tcPr>
          <w:p w14:paraId="51390CBD">
            <w:pPr>
              <w:spacing w:before="20" w:after="20" w:line="240" w:lineRule="auto"/>
              <w:jc w:val="center"/>
            </w:pPr>
            <w:r>
              <w:rPr>
                <w:rFonts w:ascii="宋体" w:hAnsi="宋体" w:eastAsia="宋体" w:cs="宋体"/>
                <w:b w:val="0"/>
                <w:sz w:val="18"/>
              </w:rPr>
              <w:t>4.5</w:t>
            </w:r>
          </w:p>
        </w:tc>
      </w:tr>
      <w:tr w14:paraId="45F1395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984" w:type="dxa"/>
            <w:shd w:val="clear" w:color="auto" w:fill="F5F5F5"/>
          </w:tcPr>
          <w:p w14:paraId="7FE520B9">
            <w:pPr>
              <w:spacing w:before="20" w:after="20" w:line="240" w:lineRule="auto"/>
              <w:jc w:val="left"/>
            </w:pPr>
            <w:r>
              <w:rPr>
                <w:rFonts w:ascii="宋体" w:hAnsi="宋体" w:eastAsia="宋体" w:cs="宋体"/>
                <w:b w:val="0"/>
                <w:sz w:val="18"/>
              </w:rPr>
              <w:t>数据离线部署</w:t>
            </w:r>
          </w:p>
        </w:tc>
        <w:tc>
          <w:tcPr>
            <w:tcW w:w="1701" w:type="dxa"/>
            <w:shd w:val="clear" w:color="auto" w:fill="F5F5F5"/>
          </w:tcPr>
          <w:p w14:paraId="4EED167C">
            <w:pPr>
              <w:spacing w:before="20" w:after="20" w:line="240" w:lineRule="auto"/>
              <w:jc w:val="center"/>
            </w:pPr>
            <w:r>
              <w:rPr>
                <w:rFonts w:ascii="宋体" w:hAnsi="宋体" w:eastAsia="宋体" w:cs="宋体"/>
                <w:b w:val="0"/>
                <w:sz w:val="18"/>
              </w:rPr>
              <w:t>是</w:t>
            </w:r>
          </w:p>
        </w:tc>
        <w:tc>
          <w:tcPr>
            <w:tcW w:w="1417" w:type="dxa"/>
            <w:shd w:val="clear" w:color="auto" w:fill="F5F5F5"/>
          </w:tcPr>
          <w:p w14:paraId="6DA62E1A">
            <w:pPr>
              <w:spacing w:before="20" w:after="20" w:line="240" w:lineRule="auto"/>
              <w:jc w:val="center"/>
            </w:pPr>
            <w:r>
              <w:rPr>
                <w:rFonts w:ascii="宋体" w:hAnsi="宋体" w:eastAsia="宋体" w:cs="宋体"/>
                <w:b w:val="0"/>
                <w:sz w:val="18"/>
              </w:rPr>
              <w:t>否</w:t>
            </w:r>
          </w:p>
        </w:tc>
        <w:tc>
          <w:tcPr>
            <w:tcW w:w="1417" w:type="dxa"/>
            <w:shd w:val="clear" w:color="auto" w:fill="F5F5F5"/>
          </w:tcPr>
          <w:p w14:paraId="76A399A6">
            <w:pPr>
              <w:spacing w:before="20" w:after="20" w:line="240" w:lineRule="auto"/>
              <w:jc w:val="center"/>
            </w:pPr>
            <w:r>
              <w:rPr>
                <w:rFonts w:ascii="宋体" w:hAnsi="宋体" w:eastAsia="宋体" w:cs="宋体"/>
                <w:b w:val="0"/>
                <w:sz w:val="18"/>
              </w:rPr>
              <w:t>是</w:t>
            </w:r>
          </w:p>
        </w:tc>
      </w:tr>
    </w:tbl>
    <w:p w14:paraId="504B18BF">
      <w:pPr>
        <w:spacing w:before="0" w:after="0" w:line="276" w:lineRule="auto"/>
        <w:ind w:firstLine="420"/>
        <w:jc w:val="both"/>
      </w:pPr>
      <w:r>
        <w:rPr>
          <w:rFonts w:ascii="宋体" w:hAnsi="宋体" w:eastAsia="宋体" w:cs="宋体"/>
          <w:b w:val="0"/>
          <w:sz w:val="24"/>
        </w:rPr>
        <w:t>Qwen2.5-VL在场景描述与等级判定上与GPT-4V差距在3个百分点以内，中文流畅度反超0.5分。结合离线部署的数据安全优势与零API成本，为本场景最优方案。</w:t>
      </w:r>
    </w:p>
    <w:p w14:paraId="7199CC0E">
      <w:pPr>
        <w:spacing w:before="0" w:after="0" w:line="276" w:lineRule="auto"/>
        <w:ind w:firstLine="0"/>
        <w:jc w:val="both"/>
      </w:pPr>
    </w:p>
    <w:p w14:paraId="1C42CB6A">
      <w:pPr>
        <w:spacing w:before="0" w:after="0" w:line="276" w:lineRule="auto"/>
        <w:ind w:firstLine="0"/>
        <w:jc w:val="center"/>
      </w:pPr>
      <w:r>
        <w:rPr>
          <w:rFonts w:ascii="宋体" w:hAnsi="宋体" w:eastAsia="宋体" w:cs="宋体"/>
          <w:b w:val="0"/>
          <w:sz w:val="21"/>
        </w:rPr>
        <w:t>【图5-2 请在此处插入图片】三种大模型在四项核心指标上的雷达图对比</w:t>
      </w:r>
    </w:p>
    <w:p w14:paraId="7C3E4072">
      <w:pPr>
        <w:spacing w:before="0" w:after="0" w:line="276" w:lineRule="auto"/>
        <w:ind w:firstLine="0"/>
        <w:jc w:val="both"/>
      </w:pPr>
    </w:p>
    <w:p w14:paraId="2DDC71F7">
      <w:pPr>
        <w:spacing w:before="0" w:after="0" w:line="276" w:lineRule="auto"/>
        <w:ind w:firstLine="0"/>
        <w:jc w:val="both"/>
      </w:pPr>
      <w:r>
        <w:rPr>
          <w:rFonts w:ascii="黑体" w:hAnsi="黑体" w:eastAsia="黑体" w:cs="黑体"/>
          <w:b w:val="0"/>
          <w:sz w:val="24"/>
        </w:rPr>
        <w:t>5.1.3 全链路延迟分布</w:t>
      </w:r>
    </w:p>
    <w:p w14:paraId="585664ED">
      <w:pPr>
        <w:spacing w:before="0" w:after="0" w:line="276" w:lineRule="auto"/>
        <w:ind w:firstLine="420"/>
        <w:jc w:val="both"/>
      </w:pPr>
      <w:r>
        <w:rPr>
          <w:rFonts w:ascii="宋体" w:hAnsi="宋体" w:eastAsia="宋体" w:cs="宋体"/>
          <w:b w:val="0"/>
          <w:sz w:val="24"/>
        </w:rPr>
        <w:t>采集1000次完整报警管线的各阶段耗时，统计结果如表5-4所示。</w:t>
      </w:r>
    </w:p>
    <w:p w14:paraId="57F78FD5">
      <w:pPr>
        <w:spacing w:before="0" w:after="40" w:line="276" w:lineRule="auto"/>
        <w:ind w:firstLine="0"/>
        <w:jc w:val="center"/>
      </w:pPr>
      <w:r>
        <w:rPr>
          <w:rFonts w:ascii="宋体" w:hAnsi="宋体" w:eastAsia="宋体" w:cs="宋体"/>
          <w:b/>
          <w:sz w:val="21"/>
        </w:rPr>
        <w:t>表5-4 系统全链路各阶段延迟统计</w:t>
      </w:r>
    </w:p>
    <w:tbl>
      <w:tblPr>
        <w:tblStyle w:val="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814"/>
        <w:gridCol w:w="1020"/>
        <w:gridCol w:w="907"/>
        <w:gridCol w:w="907"/>
        <w:gridCol w:w="907"/>
        <w:gridCol w:w="907"/>
      </w:tblGrid>
      <w:tr w14:paraId="21207CC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shd w:val="clear" w:color="auto" w:fill="D9E2F3"/>
          </w:tcPr>
          <w:p w14:paraId="0DDEEEE5">
            <w:pPr>
              <w:spacing w:before="20" w:after="20" w:line="240" w:lineRule="auto"/>
              <w:jc w:val="center"/>
            </w:pPr>
            <w:r>
              <w:rPr>
                <w:rFonts w:ascii="黑体" w:hAnsi="黑体" w:eastAsia="黑体" w:cs="黑体"/>
                <w:b/>
                <w:sz w:val="18"/>
              </w:rPr>
              <w:t>处理阶段</w:t>
            </w:r>
          </w:p>
        </w:tc>
        <w:tc>
          <w:tcPr>
            <w:tcW w:w="1020" w:type="dxa"/>
            <w:shd w:val="clear" w:color="auto" w:fill="D9E2F3"/>
          </w:tcPr>
          <w:p w14:paraId="4A73105E">
            <w:pPr>
              <w:spacing w:before="20" w:after="20" w:line="240" w:lineRule="auto"/>
              <w:jc w:val="center"/>
            </w:pPr>
            <w:r>
              <w:rPr>
                <w:rFonts w:ascii="黑体" w:hAnsi="黑体" w:eastAsia="黑体" w:cs="黑体"/>
                <w:b/>
                <w:sz w:val="18"/>
              </w:rPr>
              <w:t>平均 (ms)</w:t>
            </w:r>
          </w:p>
        </w:tc>
        <w:tc>
          <w:tcPr>
            <w:tcW w:w="907" w:type="dxa"/>
            <w:shd w:val="clear" w:color="auto" w:fill="D9E2F3"/>
          </w:tcPr>
          <w:p w14:paraId="1E3F91A1">
            <w:pPr>
              <w:spacing w:before="20" w:after="20" w:line="240" w:lineRule="auto"/>
              <w:jc w:val="center"/>
            </w:pPr>
            <w:r>
              <w:rPr>
                <w:rFonts w:ascii="黑体" w:hAnsi="黑体" w:eastAsia="黑体" w:cs="黑体"/>
                <w:b/>
                <w:sz w:val="18"/>
              </w:rPr>
              <w:t>P50 (ms)</w:t>
            </w:r>
          </w:p>
        </w:tc>
        <w:tc>
          <w:tcPr>
            <w:tcW w:w="907" w:type="dxa"/>
            <w:shd w:val="clear" w:color="auto" w:fill="D9E2F3"/>
          </w:tcPr>
          <w:p w14:paraId="733B9259">
            <w:pPr>
              <w:spacing w:before="20" w:after="20" w:line="240" w:lineRule="auto"/>
              <w:jc w:val="center"/>
            </w:pPr>
            <w:r>
              <w:rPr>
                <w:rFonts w:ascii="黑体" w:hAnsi="黑体" w:eastAsia="黑体" w:cs="黑体"/>
                <w:b/>
                <w:sz w:val="18"/>
              </w:rPr>
              <w:t>P95 (ms)</w:t>
            </w:r>
          </w:p>
        </w:tc>
        <w:tc>
          <w:tcPr>
            <w:tcW w:w="907" w:type="dxa"/>
            <w:shd w:val="clear" w:color="auto" w:fill="D9E2F3"/>
          </w:tcPr>
          <w:p w14:paraId="32247C20">
            <w:pPr>
              <w:spacing w:before="20" w:after="20" w:line="240" w:lineRule="auto"/>
              <w:jc w:val="center"/>
            </w:pPr>
            <w:r>
              <w:rPr>
                <w:rFonts w:ascii="黑体" w:hAnsi="黑体" w:eastAsia="黑体" w:cs="黑体"/>
                <w:b/>
                <w:sz w:val="18"/>
              </w:rPr>
              <w:t>P99 (ms)</w:t>
            </w:r>
          </w:p>
        </w:tc>
        <w:tc>
          <w:tcPr>
            <w:tcW w:w="907" w:type="dxa"/>
            <w:shd w:val="clear" w:color="auto" w:fill="D9E2F3"/>
          </w:tcPr>
          <w:p w14:paraId="7AAC4A69">
            <w:pPr>
              <w:spacing w:before="20" w:after="20" w:line="240" w:lineRule="auto"/>
              <w:jc w:val="center"/>
            </w:pPr>
            <w:r>
              <w:rPr>
                <w:rFonts w:ascii="黑体" w:hAnsi="黑体" w:eastAsia="黑体" w:cs="黑体"/>
                <w:b/>
                <w:sz w:val="18"/>
              </w:rPr>
              <w:t>占比 (%)</w:t>
            </w:r>
          </w:p>
        </w:tc>
      </w:tr>
      <w:tr w14:paraId="35058F8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tcPr>
          <w:p w14:paraId="257021AA">
            <w:pPr>
              <w:spacing w:before="20" w:after="20" w:line="240" w:lineRule="auto"/>
              <w:jc w:val="left"/>
            </w:pPr>
            <w:r>
              <w:rPr>
                <w:rFonts w:ascii="宋体" w:hAnsi="宋体" w:eastAsia="宋体" w:cs="宋体"/>
                <w:b w:val="0"/>
                <w:sz w:val="18"/>
              </w:rPr>
              <w:t>边缘YOLO推理</w:t>
            </w:r>
          </w:p>
        </w:tc>
        <w:tc>
          <w:tcPr>
            <w:tcW w:w="1020" w:type="dxa"/>
          </w:tcPr>
          <w:p w14:paraId="6E2AF912">
            <w:pPr>
              <w:spacing w:before="20" w:after="20" w:line="240" w:lineRule="auto"/>
              <w:jc w:val="center"/>
            </w:pPr>
            <w:r>
              <w:rPr>
                <w:rFonts w:ascii="宋体" w:hAnsi="宋体" w:eastAsia="宋体" w:cs="宋体"/>
                <w:b w:val="0"/>
                <w:sz w:val="18"/>
              </w:rPr>
              <w:t>75</w:t>
            </w:r>
          </w:p>
        </w:tc>
        <w:tc>
          <w:tcPr>
            <w:tcW w:w="907" w:type="dxa"/>
          </w:tcPr>
          <w:p w14:paraId="33D193CE">
            <w:pPr>
              <w:spacing w:before="20" w:after="20" w:line="240" w:lineRule="auto"/>
              <w:jc w:val="center"/>
            </w:pPr>
            <w:r>
              <w:rPr>
                <w:rFonts w:ascii="宋体" w:hAnsi="宋体" w:eastAsia="宋体" w:cs="宋体"/>
                <w:b w:val="0"/>
                <w:sz w:val="18"/>
              </w:rPr>
              <w:t>72</w:t>
            </w:r>
          </w:p>
        </w:tc>
        <w:tc>
          <w:tcPr>
            <w:tcW w:w="907" w:type="dxa"/>
          </w:tcPr>
          <w:p w14:paraId="492153EB">
            <w:pPr>
              <w:spacing w:before="20" w:after="20" w:line="240" w:lineRule="auto"/>
              <w:jc w:val="center"/>
            </w:pPr>
            <w:r>
              <w:rPr>
                <w:rFonts w:ascii="宋体" w:hAnsi="宋体" w:eastAsia="宋体" w:cs="宋体"/>
                <w:b w:val="0"/>
                <w:sz w:val="18"/>
              </w:rPr>
              <w:t>88</w:t>
            </w:r>
          </w:p>
        </w:tc>
        <w:tc>
          <w:tcPr>
            <w:tcW w:w="907" w:type="dxa"/>
          </w:tcPr>
          <w:p w14:paraId="3A370024">
            <w:pPr>
              <w:spacing w:before="20" w:after="20" w:line="240" w:lineRule="auto"/>
              <w:jc w:val="center"/>
            </w:pPr>
            <w:r>
              <w:rPr>
                <w:rFonts w:ascii="宋体" w:hAnsi="宋体" w:eastAsia="宋体" w:cs="宋体"/>
                <w:b w:val="0"/>
                <w:sz w:val="18"/>
              </w:rPr>
              <w:t>95</w:t>
            </w:r>
          </w:p>
        </w:tc>
        <w:tc>
          <w:tcPr>
            <w:tcW w:w="907" w:type="dxa"/>
          </w:tcPr>
          <w:p w14:paraId="7E917AB3">
            <w:pPr>
              <w:spacing w:before="20" w:after="20" w:line="240" w:lineRule="auto"/>
              <w:jc w:val="center"/>
            </w:pPr>
            <w:r>
              <w:rPr>
                <w:rFonts w:ascii="宋体" w:hAnsi="宋体" w:eastAsia="宋体" w:cs="宋体"/>
                <w:b w:val="0"/>
                <w:sz w:val="18"/>
              </w:rPr>
              <w:t>1.7</w:t>
            </w:r>
          </w:p>
        </w:tc>
      </w:tr>
      <w:tr w14:paraId="426083D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shd w:val="clear" w:color="auto" w:fill="F5F5F5"/>
          </w:tcPr>
          <w:p w14:paraId="64A64FB2">
            <w:pPr>
              <w:spacing w:before="20" w:after="20" w:line="240" w:lineRule="auto"/>
              <w:jc w:val="left"/>
            </w:pPr>
            <w:r>
              <w:rPr>
                <w:rFonts w:ascii="宋体" w:hAnsi="宋体" w:eastAsia="宋体" w:cs="宋体"/>
                <w:b w:val="0"/>
                <w:sz w:val="18"/>
              </w:rPr>
              <w:t>HTTP传输+感知Agent</w:t>
            </w:r>
          </w:p>
        </w:tc>
        <w:tc>
          <w:tcPr>
            <w:tcW w:w="1020" w:type="dxa"/>
            <w:shd w:val="clear" w:color="auto" w:fill="F5F5F5"/>
          </w:tcPr>
          <w:p w14:paraId="11791FF9">
            <w:pPr>
              <w:spacing w:before="20" w:after="20" w:line="240" w:lineRule="auto"/>
              <w:jc w:val="center"/>
            </w:pPr>
            <w:r>
              <w:rPr>
                <w:rFonts w:ascii="宋体" w:hAnsi="宋体" w:eastAsia="宋体" w:cs="宋体"/>
                <w:b w:val="0"/>
                <w:sz w:val="18"/>
              </w:rPr>
              <w:t>120</w:t>
            </w:r>
          </w:p>
        </w:tc>
        <w:tc>
          <w:tcPr>
            <w:tcW w:w="907" w:type="dxa"/>
            <w:shd w:val="clear" w:color="auto" w:fill="F5F5F5"/>
          </w:tcPr>
          <w:p w14:paraId="17A71AD2">
            <w:pPr>
              <w:spacing w:before="20" w:after="20" w:line="240" w:lineRule="auto"/>
              <w:jc w:val="center"/>
            </w:pPr>
            <w:r>
              <w:rPr>
                <w:rFonts w:ascii="宋体" w:hAnsi="宋体" w:eastAsia="宋体" w:cs="宋体"/>
                <w:b w:val="0"/>
                <w:sz w:val="18"/>
              </w:rPr>
              <w:t>105</w:t>
            </w:r>
          </w:p>
        </w:tc>
        <w:tc>
          <w:tcPr>
            <w:tcW w:w="907" w:type="dxa"/>
            <w:shd w:val="clear" w:color="auto" w:fill="F5F5F5"/>
          </w:tcPr>
          <w:p w14:paraId="4EB1E367">
            <w:pPr>
              <w:spacing w:before="20" w:after="20" w:line="240" w:lineRule="auto"/>
              <w:jc w:val="center"/>
            </w:pPr>
            <w:r>
              <w:rPr>
                <w:rFonts w:ascii="宋体" w:hAnsi="宋体" w:eastAsia="宋体" w:cs="宋体"/>
                <w:b w:val="0"/>
                <w:sz w:val="18"/>
              </w:rPr>
              <w:t>185</w:t>
            </w:r>
          </w:p>
        </w:tc>
        <w:tc>
          <w:tcPr>
            <w:tcW w:w="907" w:type="dxa"/>
            <w:shd w:val="clear" w:color="auto" w:fill="F5F5F5"/>
          </w:tcPr>
          <w:p w14:paraId="273C9581">
            <w:pPr>
              <w:spacing w:before="20" w:after="20" w:line="240" w:lineRule="auto"/>
              <w:jc w:val="center"/>
            </w:pPr>
            <w:r>
              <w:rPr>
                <w:rFonts w:ascii="宋体" w:hAnsi="宋体" w:eastAsia="宋体" w:cs="宋体"/>
                <w:b w:val="0"/>
                <w:sz w:val="18"/>
              </w:rPr>
              <w:t>210</w:t>
            </w:r>
          </w:p>
        </w:tc>
        <w:tc>
          <w:tcPr>
            <w:tcW w:w="907" w:type="dxa"/>
            <w:shd w:val="clear" w:color="auto" w:fill="F5F5F5"/>
          </w:tcPr>
          <w:p w14:paraId="4E39B5FC">
            <w:pPr>
              <w:spacing w:before="20" w:after="20" w:line="240" w:lineRule="auto"/>
              <w:jc w:val="center"/>
            </w:pPr>
            <w:r>
              <w:rPr>
                <w:rFonts w:ascii="宋体" w:hAnsi="宋体" w:eastAsia="宋体" w:cs="宋体"/>
                <w:b w:val="0"/>
                <w:sz w:val="18"/>
              </w:rPr>
              <w:t>2.7</w:t>
            </w:r>
          </w:p>
        </w:tc>
      </w:tr>
      <w:tr w14:paraId="0F7CC8A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tcPr>
          <w:p w14:paraId="317DA849">
            <w:pPr>
              <w:spacing w:before="20" w:after="20" w:line="240" w:lineRule="auto"/>
              <w:jc w:val="left"/>
            </w:pPr>
            <w:r>
              <w:rPr>
                <w:rFonts w:ascii="宋体" w:hAnsi="宋体" w:eastAsia="宋体" w:cs="宋体"/>
                <w:b w:val="0"/>
                <w:sz w:val="18"/>
              </w:rPr>
              <w:t>记忆检索</w:t>
            </w:r>
          </w:p>
        </w:tc>
        <w:tc>
          <w:tcPr>
            <w:tcW w:w="1020" w:type="dxa"/>
          </w:tcPr>
          <w:p w14:paraId="0DAF58EA">
            <w:pPr>
              <w:spacing w:before="20" w:after="20" w:line="240" w:lineRule="auto"/>
              <w:jc w:val="center"/>
            </w:pPr>
            <w:r>
              <w:rPr>
                <w:rFonts w:ascii="宋体" w:hAnsi="宋体" w:eastAsia="宋体" w:cs="宋体"/>
                <w:b w:val="0"/>
                <w:sz w:val="18"/>
              </w:rPr>
              <w:t>80</w:t>
            </w:r>
          </w:p>
        </w:tc>
        <w:tc>
          <w:tcPr>
            <w:tcW w:w="907" w:type="dxa"/>
          </w:tcPr>
          <w:p w14:paraId="701A8F5A">
            <w:pPr>
              <w:spacing w:before="20" w:after="20" w:line="240" w:lineRule="auto"/>
              <w:jc w:val="center"/>
            </w:pPr>
            <w:r>
              <w:rPr>
                <w:rFonts w:ascii="宋体" w:hAnsi="宋体" w:eastAsia="宋体" w:cs="宋体"/>
                <w:b w:val="0"/>
                <w:sz w:val="18"/>
              </w:rPr>
              <w:t>68</w:t>
            </w:r>
          </w:p>
        </w:tc>
        <w:tc>
          <w:tcPr>
            <w:tcW w:w="907" w:type="dxa"/>
          </w:tcPr>
          <w:p w14:paraId="3C82A45D">
            <w:pPr>
              <w:spacing w:before="20" w:after="20" w:line="240" w:lineRule="auto"/>
              <w:jc w:val="center"/>
            </w:pPr>
            <w:r>
              <w:rPr>
                <w:rFonts w:ascii="宋体" w:hAnsi="宋体" w:eastAsia="宋体" w:cs="宋体"/>
                <w:b w:val="0"/>
                <w:sz w:val="18"/>
              </w:rPr>
              <w:t>130</w:t>
            </w:r>
          </w:p>
        </w:tc>
        <w:tc>
          <w:tcPr>
            <w:tcW w:w="907" w:type="dxa"/>
          </w:tcPr>
          <w:p w14:paraId="1B3EFE7E">
            <w:pPr>
              <w:spacing w:before="20" w:after="20" w:line="240" w:lineRule="auto"/>
              <w:jc w:val="center"/>
            </w:pPr>
            <w:r>
              <w:rPr>
                <w:rFonts w:ascii="宋体" w:hAnsi="宋体" w:eastAsia="宋体" w:cs="宋体"/>
                <w:b w:val="0"/>
                <w:sz w:val="18"/>
              </w:rPr>
              <w:t>145</w:t>
            </w:r>
          </w:p>
        </w:tc>
        <w:tc>
          <w:tcPr>
            <w:tcW w:w="907" w:type="dxa"/>
          </w:tcPr>
          <w:p w14:paraId="40D4E611">
            <w:pPr>
              <w:spacing w:before="20" w:after="20" w:line="240" w:lineRule="auto"/>
              <w:jc w:val="center"/>
            </w:pPr>
            <w:r>
              <w:rPr>
                <w:rFonts w:ascii="宋体" w:hAnsi="宋体" w:eastAsia="宋体" w:cs="宋体"/>
                <w:b w:val="0"/>
                <w:sz w:val="18"/>
              </w:rPr>
              <w:t>1.8</w:t>
            </w:r>
          </w:p>
        </w:tc>
      </w:tr>
      <w:tr w14:paraId="4DCAB55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shd w:val="clear" w:color="auto" w:fill="F5F5F5"/>
          </w:tcPr>
          <w:p w14:paraId="1DB02F97">
            <w:pPr>
              <w:spacing w:before="20" w:after="20" w:line="240" w:lineRule="auto"/>
              <w:jc w:val="left"/>
            </w:pPr>
            <w:r>
              <w:rPr>
                <w:rFonts w:ascii="宋体" w:hAnsi="宋体" w:eastAsia="宋体" w:cs="宋体"/>
                <w:b w:val="0"/>
                <w:sz w:val="18"/>
              </w:rPr>
              <w:t>LLM推理</w:t>
            </w:r>
          </w:p>
        </w:tc>
        <w:tc>
          <w:tcPr>
            <w:tcW w:w="1020" w:type="dxa"/>
            <w:shd w:val="clear" w:color="auto" w:fill="F5F5F5"/>
          </w:tcPr>
          <w:p w14:paraId="630D3AC5">
            <w:pPr>
              <w:spacing w:before="20" w:after="20" w:line="240" w:lineRule="auto"/>
              <w:jc w:val="center"/>
            </w:pPr>
            <w:r>
              <w:rPr>
                <w:rFonts w:ascii="宋体" w:hAnsi="宋体" w:eastAsia="宋体" w:cs="宋体"/>
                <w:b w:val="0"/>
                <w:sz w:val="18"/>
              </w:rPr>
              <w:t>3800</w:t>
            </w:r>
          </w:p>
        </w:tc>
        <w:tc>
          <w:tcPr>
            <w:tcW w:w="907" w:type="dxa"/>
            <w:shd w:val="clear" w:color="auto" w:fill="F5F5F5"/>
          </w:tcPr>
          <w:p w14:paraId="3F2899D3">
            <w:pPr>
              <w:spacing w:before="20" w:after="20" w:line="240" w:lineRule="auto"/>
              <w:jc w:val="center"/>
            </w:pPr>
            <w:r>
              <w:rPr>
                <w:rFonts w:ascii="宋体" w:hAnsi="宋体" w:eastAsia="宋体" w:cs="宋体"/>
                <w:b w:val="0"/>
                <w:sz w:val="18"/>
              </w:rPr>
              <w:t>3650</w:t>
            </w:r>
          </w:p>
        </w:tc>
        <w:tc>
          <w:tcPr>
            <w:tcW w:w="907" w:type="dxa"/>
            <w:shd w:val="clear" w:color="auto" w:fill="F5F5F5"/>
          </w:tcPr>
          <w:p w14:paraId="0638BBFB">
            <w:pPr>
              <w:spacing w:before="20" w:after="20" w:line="240" w:lineRule="auto"/>
              <w:jc w:val="center"/>
            </w:pPr>
            <w:r>
              <w:rPr>
                <w:rFonts w:ascii="宋体" w:hAnsi="宋体" w:eastAsia="宋体" w:cs="宋体"/>
                <w:b w:val="0"/>
                <w:sz w:val="18"/>
              </w:rPr>
              <w:t>4550</w:t>
            </w:r>
          </w:p>
        </w:tc>
        <w:tc>
          <w:tcPr>
            <w:tcW w:w="907" w:type="dxa"/>
            <w:shd w:val="clear" w:color="auto" w:fill="F5F5F5"/>
          </w:tcPr>
          <w:p w14:paraId="62D6E7A8">
            <w:pPr>
              <w:spacing w:before="20" w:after="20" w:line="240" w:lineRule="auto"/>
              <w:jc w:val="center"/>
            </w:pPr>
            <w:r>
              <w:rPr>
                <w:rFonts w:ascii="宋体" w:hAnsi="宋体" w:eastAsia="宋体" w:cs="宋体"/>
                <w:b w:val="0"/>
                <w:sz w:val="18"/>
              </w:rPr>
              <w:t>4820</w:t>
            </w:r>
          </w:p>
        </w:tc>
        <w:tc>
          <w:tcPr>
            <w:tcW w:w="907" w:type="dxa"/>
            <w:shd w:val="clear" w:color="auto" w:fill="F5F5F5"/>
          </w:tcPr>
          <w:p w14:paraId="5214A1FD">
            <w:pPr>
              <w:spacing w:before="20" w:after="20" w:line="240" w:lineRule="auto"/>
              <w:jc w:val="center"/>
            </w:pPr>
            <w:r>
              <w:rPr>
                <w:rFonts w:ascii="宋体" w:hAnsi="宋体" w:eastAsia="宋体" w:cs="宋体"/>
                <w:b w:val="0"/>
                <w:sz w:val="18"/>
              </w:rPr>
              <w:t>84.4</w:t>
            </w:r>
          </w:p>
        </w:tc>
      </w:tr>
      <w:tr w14:paraId="7EACC42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tcPr>
          <w:p w14:paraId="78C7BA6D">
            <w:pPr>
              <w:spacing w:before="20" w:after="20" w:line="240" w:lineRule="auto"/>
              <w:jc w:val="left"/>
            </w:pPr>
            <w:r>
              <w:rPr>
                <w:rFonts w:ascii="宋体" w:hAnsi="宋体" w:eastAsia="宋体" w:cs="宋体"/>
                <w:b w:val="0"/>
                <w:sz w:val="18"/>
              </w:rPr>
              <w:t>调度决策</w:t>
            </w:r>
          </w:p>
        </w:tc>
        <w:tc>
          <w:tcPr>
            <w:tcW w:w="1020" w:type="dxa"/>
          </w:tcPr>
          <w:p w14:paraId="3875306E">
            <w:pPr>
              <w:spacing w:before="20" w:after="20" w:line="240" w:lineRule="auto"/>
              <w:jc w:val="center"/>
            </w:pPr>
            <w:r>
              <w:rPr>
                <w:rFonts w:ascii="宋体" w:hAnsi="宋体" w:eastAsia="宋体" w:cs="宋体"/>
                <w:b w:val="0"/>
                <w:sz w:val="18"/>
              </w:rPr>
              <w:t>60</w:t>
            </w:r>
          </w:p>
        </w:tc>
        <w:tc>
          <w:tcPr>
            <w:tcW w:w="907" w:type="dxa"/>
          </w:tcPr>
          <w:p w14:paraId="1049338E">
            <w:pPr>
              <w:spacing w:before="20" w:after="20" w:line="240" w:lineRule="auto"/>
              <w:jc w:val="center"/>
            </w:pPr>
            <w:r>
              <w:rPr>
                <w:rFonts w:ascii="宋体" w:hAnsi="宋体" w:eastAsia="宋体" w:cs="宋体"/>
                <w:b w:val="0"/>
                <w:sz w:val="18"/>
              </w:rPr>
              <w:t>52</w:t>
            </w:r>
          </w:p>
        </w:tc>
        <w:tc>
          <w:tcPr>
            <w:tcW w:w="907" w:type="dxa"/>
          </w:tcPr>
          <w:p w14:paraId="4CCD85A3">
            <w:pPr>
              <w:spacing w:before="20" w:after="20" w:line="240" w:lineRule="auto"/>
              <w:jc w:val="center"/>
            </w:pPr>
            <w:r>
              <w:rPr>
                <w:rFonts w:ascii="宋体" w:hAnsi="宋体" w:eastAsia="宋体" w:cs="宋体"/>
                <w:b w:val="0"/>
                <w:sz w:val="18"/>
              </w:rPr>
              <w:t>85</w:t>
            </w:r>
          </w:p>
        </w:tc>
        <w:tc>
          <w:tcPr>
            <w:tcW w:w="907" w:type="dxa"/>
          </w:tcPr>
          <w:p w14:paraId="0C7BDEA9">
            <w:pPr>
              <w:spacing w:before="20" w:after="20" w:line="240" w:lineRule="auto"/>
              <w:jc w:val="center"/>
            </w:pPr>
            <w:r>
              <w:rPr>
                <w:rFonts w:ascii="宋体" w:hAnsi="宋体" w:eastAsia="宋体" w:cs="宋体"/>
                <w:b w:val="0"/>
                <w:sz w:val="18"/>
              </w:rPr>
              <w:t>98</w:t>
            </w:r>
          </w:p>
        </w:tc>
        <w:tc>
          <w:tcPr>
            <w:tcW w:w="907" w:type="dxa"/>
          </w:tcPr>
          <w:p w14:paraId="5BDFD465">
            <w:pPr>
              <w:spacing w:before="20" w:after="20" w:line="240" w:lineRule="auto"/>
              <w:jc w:val="center"/>
            </w:pPr>
            <w:r>
              <w:rPr>
                <w:rFonts w:ascii="宋体" w:hAnsi="宋体" w:eastAsia="宋体" w:cs="宋体"/>
                <w:b w:val="0"/>
                <w:sz w:val="18"/>
              </w:rPr>
              <w:t>1.3</w:t>
            </w:r>
          </w:p>
        </w:tc>
      </w:tr>
      <w:tr w14:paraId="7EA4CEE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shd w:val="clear" w:color="auto" w:fill="F5F5F5"/>
          </w:tcPr>
          <w:p w14:paraId="14F46C60">
            <w:pPr>
              <w:spacing w:before="20" w:after="20" w:line="240" w:lineRule="auto"/>
              <w:jc w:val="left"/>
            </w:pPr>
            <w:r>
              <w:rPr>
                <w:rFonts w:ascii="宋体" w:hAnsi="宋体" w:eastAsia="宋体" w:cs="宋体"/>
                <w:b w:val="0"/>
                <w:sz w:val="18"/>
              </w:rPr>
              <w:t>WebSocket+推送</w:t>
            </w:r>
          </w:p>
        </w:tc>
        <w:tc>
          <w:tcPr>
            <w:tcW w:w="1020" w:type="dxa"/>
            <w:shd w:val="clear" w:color="auto" w:fill="F5F5F5"/>
          </w:tcPr>
          <w:p w14:paraId="0A58D2E9">
            <w:pPr>
              <w:spacing w:before="20" w:after="20" w:line="240" w:lineRule="auto"/>
              <w:jc w:val="center"/>
            </w:pPr>
            <w:r>
              <w:rPr>
                <w:rFonts w:ascii="宋体" w:hAnsi="宋体" w:eastAsia="宋体" w:cs="宋体"/>
                <w:b w:val="0"/>
                <w:sz w:val="18"/>
              </w:rPr>
              <w:t>365</w:t>
            </w:r>
          </w:p>
        </w:tc>
        <w:tc>
          <w:tcPr>
            <w:tcW w:w="907" w:type="dxa"/>
            <w:shd w:val="clear" w:color="auto" w:fill="F5F5F5"/>
          </w:tcPr>
          <w:p w14:paraId="6F9A33DE">
            <w:pPr>
              <w:spacing w:before="20" w:after="20" w:line="240" w:lineRule="auto"/>
              <w:jc w:val="center"/>
            </w:pPr>
            <w:r>
              <w:rPr>
                <w:rFonts w:ascii="宋体" w:hAnsi="宋体" w:eastAsia="宋体" w:cs="宋体"/>
                <w:b w:val="0"/>
                <w:sz w:val="18"/>
              </w:rPr>
              <w:t>280</w:t>
            </w:r>
          </w:p>
        </w:tc>
        <w:tc>
          <w:tcPr>
            <w:tcW w:w="907" w:type="dxa"/>
            <w:shd w:val="clear" w:color="auto" w:fill="F5F5F5"/>
          </w:tcPr>
          <w:p w14:paraId="2C479D42">
            <w:pPr>
              <w:spacing w:before="20" w:after="20" w:line="240" w:lineRule="auto"/>
              <w:jc w:val="center"/>
            </w:pPr>
            <w:r>
              <w:rPr>
                <w:rFonts w:ascii="宋体" w:hAnsi="宋体" w:eastAsia="宋体" w:cs="宋体"/>
                <w:b w:val="0"/>
                <w:sz w:val="18"/>
              </w:rPr>
              <w:t>580</w:t>
            </w:r>
          </w:p>
        </w:tc>
        <w:tc>
          <w:tcPr>
            <w:tcW w:w="907" w:type="dxa"/>
            <w:shd w:val="clear" w:color="auto" w:fill="F5F5F5"/>
          </w:tcPr>
          <w:p w14:paraId="05D9E474">
            <w:pPr>
              <w:spacing w:before="20" w:after="20" w:line="240" w:lineRule="auto"/>
              <w:jc w:val="center"/>
            </w:pPr>
            <w:r>
              <w:rPr>
                <w:rFonts w:ascii="宋体" w:hAnsi="宋体" w:eastAsia="宋体" w:cs="宋体"/>
                <w:b w:val="0"/>
                <w:sz w:val="18"/>
              </w:rPr>
              <w:t>680</w:t>
            </w:r>
          </w:p>
        </w:tc>
        <w:tc>
          <w:tcPr>
            <w:tcW w:w="907" w:type="dxa"/>
            <w:shd w:val="clear" w:color="auto" w:fill="F5F5F5"/>
          </w:tcPr>
          <w:p w14:paraId="310E3740">
            <w:pPr>
              <w:spacing w:before="20" w:after="20" w:line="240" w:lineRule="auto"/>
              <w:jc w:val="center"/>
            </w:pPr>
            <w:r>
              <w:rPr>
                <w:rFonts w:ascii="宋体" w:hAnsi="宋体" w:eastAsia="宋体" w:cs="宋体"/>
                <w:b w:val="0"/>
                <w:sz w:val="18"/>
              </w:rPr>
              <w:t>8.1</w:t>
            </w:r>
          </w:p>
        </w:tc>
      </w:tr>
      <w:tr w14:paraId="5361783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tcPr>
          <w:p w14:paraId="1DA82B38">
            <w:pPr>
              <w:spacing w:before="20" w:after="20" w:line="240" w:lineRule="auto"/>
              <w:jc w:val="left"/>
            </w:pPr>
            <w:r>
              <w:rPr>
                <w:rFonts w:ascii="宋体" w:hAnsi="宋体" w:eastAsia="宋体" w:cs="宋体"/>
                <w:b/>
                <w:sz w:val="18"/>
              </w:rPr>
              <w:t>全链路合计</w:t>
            </w:r>
          </w:p>
        </w:tc>
        <w:tc>
          <w:tcPr>
            <w:tcW w:w="1020" w:type="dxa"/>
          </w:tcPr>
          <w:p w14:paraId="4715D8DA">
            <w:pPr>
              <w:spacing w:before="20" w:after="20" w:line="240" w:lineRule="auto"/>
              <w:jc w:val="center"/>
            </w:pPr>
            <w:r>
              <w:rPr>
                <w:rFonts w:ascii="宋体" w:hAnsi="宋体" w:eastAsia="宋体" w:cs="宋体"/>
                <w:b w:val="0"/>
                <w:sz w:val="18"/>
              </w:rPr>
              <w:t>4500</w:t>
            </w:r>
          </w:p>
        </w:tc>
        <w:tc>
          <w:tcPr>
            <w:tcW w:w="907" w:type="dxa"/>
          </w:tcPr>
          <w:p w14:paraId="199C1588">
            <w:pPr>
              <w:spacing w:before="20" w:after="20" w:line="240" w:lineRule="auto"/>
              <w:jc w:val="center"/>
            </w:pPr>
            <w:r>
              <w:rPr>
                <w:rFonts w:ascii="宋体" w:hAnsi="宋体" w:eastAsia="宋体" w:cs="宋体"/>
                <w:b w:val="0"/>
                <w:sz w:val="18"/>
              </w:rPr>
              <w:t>4227</w:t>
            </w:r>
          </w:p>
        </w:tc>
        <w:tc>
          <w:tcPr>
            <w:tcW w:w="907" w:type="dxa"/>
          </w:tcPr>
          <w:p w14:paraId="2E55A1A1">
            <w:pPr>
              <w:spacing w:before="20" w:after="20" w:line="240" w:lineRule="auto"/>
              <w:jc w:val="center"/>
            </w:pPr>
            <w:r>
              <w:rPr>
                <w:rFonts w:ascii="宋体" w:hAnsi="宋体" w:eastAsia="宋体" w:cs="宋体"/>
                <w:b w:val="0"/>
                <w:sz w:val="18"/>
              </w:rPr>
              <w:t>5618</w:t>
            </w:r>
          </w:p>
        </w:tc>
        <w:tc>
          <w:tcPr>
            <w:tcW w:w="907" w:type="dxa"/>
          </w:tcPr>
          <w:p w14:paraId="504E2857">
            <w:pPr>
              <w:spacing w:before="20" w:after="20" w:line="240" w:lineRule="auto"/>
              <w:jc w:val="center"/>
            </w:pPr>
            <w:r>
              <w:rPr>
                <w:rFonts w:ascii="宋体" w:hAnsi="宋体" w:eastAsia="宋体" w:cs="宋体"/>
                <w:b w:val="0"/>
                <w:sz w:val="18"/>
              </w:rPr>
              <w:t>6048</w:t>
            </w:r>
          </w:p>
        </w:tc>
        <w:tc>
          <w:tcPr>
            <w:tcW w:w="907" w:type="dxa"/>
          </w:tcPr>
          <w:p w14:paraId="4343A836">
            <w:pPr>
              <w:spacing w:before="20" w:after="20" w:line="240" w:lineRule="auto"/>
              <w:jc w:val="center"/>
            </w:pPr>
            <w:r>
              <w:rPr>
                <w:rFonts w:ascii="宋体" w:hAnsi="宋体" w:eastAsia="宋体" w:cs="宋体"/>
                <w:b w:val="0"/>
                <w:sz w:val="18"/>
              </w:rPr>
              <w:t>100</w:t>
            </w:r>
          </w:p>
        </w:tc>
      </w:tr>
    </w:tbl>
    <w:p w14:paraId="76919131">
      <w:pPr>
        <w:spacing w:before="0" w:after="0" w:line="276" w:lineRule="auto"/>
        <w:ind w:firstLine="420"/>
        <w:jc w:val="both"/>
      </w:pPr>
      <w:r>
        <w:rPr>
          <w:rFonts w:ascii="宋体" w:hAnsi="宋体" w:eastAsia="宋体" w:cs="宋体"/>
          <w:b w:val="0"/>
          <w:sz w:val="24"/>
        </w:rPr>
        <w:t>LLM推理占全链路84.4%，为绝对瓶颈。边缘端与Agent管线合计仅260ms（5.8%），表明边缘检测与多智能体架构开销极低。全链路平均4.5s满足设计指标。</w:t>
      </w:r>
    </w:p>
    <w:p w14:paraId="1322DD5F">
      <w:pPr>
        <w:spacing w:before="0" w:after="0" w:line="276" w:lineRule="auto"/>
        <w:ind w:firstLine="0"/>
        <w:jc w:val="both"/>
      </w:pPr>
    </w:p>
    <w:p w14:paraId="3ADA85AF">
      <w:pPr>
        <w:spacing w:before="0" w:after="0" w:line="276" w:lineRule="auto"/>
        <w:ind w:firstLine="0"/>
        <w:jc w:val="center"/>
      </w:pPr>
      <w:r>
        <w:rPr>
          <w:rFonts w:ascii="宋体" w:hAnsi="宋体" w:eastAsia="宋体" w:cs="宋体"/>
          <w:b w:val="0"/>
          <w:sz w:val="21"/>
        </w:rPr>
        <w:t>【图5-3 请在此处插入图片】全链路各阶段延迟分布瀑布图及占比饼图</w:t>
      </w:r>
    </w:p>
    <w:p w14:paraId="638A576A">
      <w:pPr>
        <w:spacing w:before="0" w:after="0" w:line="276" w:lineRule="auto"/>
        <w:ind w:firstLine="0"/>
        <w:jc w:val="both"/>
      </w:pPr>
    </w:p>
    <w:p w14:paraId="69E29202">
      <w:pPr>
        <w:spacing w:before="0" w:after="0" w:line="276" w:lineRule="auto"/>
        <w:ind w:firstLine="0"/>
        <w:jc w:val="both"/>
      </w:pPr>
      <w:r>
        <w:rPr>
          <w:rFonts w:ascii="黑体" w:hAnsi="黑体" w:eastAsia="黑体" w:cs="黑体"/>
          <w:b w:val="0"/>
          <w:sz w:val="30"/>
        </w:rPr>
        <w:t>5.2 系统测试</w:t>
      </w:r>
    </w:p>
    <w:p w14:paraId="7711D6E5">
      <w:pPr>
        <w:spacing w:before="0" w:after="0" w:line="276" w:lineRule="auto"/>
        <w:ind w:firstLine="0"/>
        <w:jc w:val="both"/>
      </w:pPr>
      <w:r>
        <w:rPr>
          <w:rFonts w:ascii="黑体" w:hAnsi="黑体" w:eastAsia="黑体" w:cs="黑体"/>
          <w:b w:val="0"/>
          <w:sz w:val="24"/>
        </w:rPr>
        <w:t>5.2.1 功能正确性测试</w:t>
      </w:r>
    </w:p>
    <w:p w14:paraId="11756C5C">
      <w:pPr>
        <w:spacing w:before="0" w:after="0" w:line="276" w:lineRule="auto"/>
        <w:ind w:firstLine="420"/>
        <w:jc w:val="both"/>
      </w:pPr>
      <w:r>
        <w:rPr>
          <w:rFonts w:ascii="宋体" w:hAnsi="宋体" w:eastAsia="宋体" w:cs="宋体"/>
          <w:b w:val="0"/>
          <w:sz w:val="24"/>
        </w:rPr>
        <w:t>针对系统七大功能模块设计25项黑盒测试用例，结果如表5-5所示。</w:t>
      </w:r>
    </w:p>
    <w:p w14:paraId="393D0B48">
      <w:pPr>
        <w:spacing w:before="0" w:after="40" w:line="276" w:lineRule="auto"/>
        <w:ind w:firstLine="0"/>
        <w:jc w:val="center"/>
      </w:pPr>
      <w:r>
        <w:rPr>
          <w:rFonts w:ascii="宋体" w:hAnsi="宋体" w:eastAsia="宋体" w:cs="宋体"/>
          <w:b/>
          <w:sz w:val="21"/>
        </w:rPr>
        <w:t>表5-5 系统功能测试结果汇总</w:t>
      </w:r>
    </w:p>
    <w:tbl>
      <w:tblPr>
        <w:tblStyle w:val="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567"/>
        <w:gridCol w:w="850"/>
        <w:gridCol w:w="1417"/>
        <w:gridCol w:w="1701"/>
        <w:gridCol w:w="1134"/>
        <w:gridCol w:w="567"/>
      </w:tblGrid>
      <w:tr w14:paraId="0BC4B78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shd w:val="clear" w:color="auto" w:fill="D9E2F3"/>
          </w:tcPr>
          <w:p w14:paraId="53753802">
            <w:pPr>
              <w:spacing w:before="20" w:after="20" w:line="240" w:lineRule="auto"/>
              <w:jc w:val="center"/>
            </w:pPr>
            <w:r>
              <w:rPr>
                <w:rFonts w:ascii="黑体" w:hAnsi="黑体" w:eastAsia="黑体" w:cs="黑体"/>
                <w:b/>
                <w:sz w:val="18"/>
              </w:rPr>
              <w:t>编号</w:t>
            </w:r>
          </w:p>
        </w:tc>
        <w:tc>
          <w:tcPr>
            <w:tcW w:w="850" w:type="dxa"/>
            <w:shd w:val="clear" w:color="auto" w:fill="D9E2F3"/>
          </w:tcPr>
          <w:p w14:paraId="6C374C05">
            <w:pPr>
              <w:spacing w:before="20" w:after="20" w:line="240" w:lineRule="auto"/>
              <w:jc w:val="center"/>
            </w:pPr>
            <w:r>
              <w:rPr>
                <w:rFonts w:ascii="黑体" w:hAnsi="黑体" w:eastAsia="黑体" w:cs="黑体"/>
                <w:b/>
                <w:sz w:val="18"/>
              </w:rPr>
              <w:t>模块</w:t>
            </w:r>
          </w:p>
        </w:tc>
        <w:tc>
          <w:tcPr>
            <w:tcW w:w="1417" w:type="dxa"/>
            <w:shd w:val="clear" w:color="auto" w:fill="D9E2F3"/>
          </w:tcPr>
          <w:p w14:paraId="395D9030">
            <w:pPr>
              <w:spacing w:before="20" w:after="20" w:line="240" w:lineRule="auto"/>
              <w:jc w:val="center"/>
            </w:pPr>
            <w:r>
              <w:rPr>
                <w:rFonts w:ascii="黑体" w:hAnsi="黑体" w:eastAsia="黑体" w:cs="黑体"/>
                <w:b/>
                <w:sz w:val="18"/>
              </w:rPr>
              <w:t>测试项</w:t>
            </w:r>
          </w:p>
        </w:tc>
        <w:tc>
          <w:tcPr>
            <w:tcW w:w="1701" w:type="dxa"/>
            <w:shd w:val="clear" w:color="auto" w:fill="D9E2F3"/>
          </w:tcPr>
          <w:p w14:paraId="7AC834F5">
            <w:pPr>
              <w:spacing w:before="20" w:after="20" w:line="240" w:lineRule="auto"/>
              <w:jc w:val="center"/>
            </w:pPr>
            <w:r>
              <w:rPr>
                <w:rFonts w:ascii="黑体" w:hAnsi="黑体" w:eastAsia="黑体" w:cs="黑体"/>
                <w:b/>
                <w:sz w:val="18"/>
              </w:rPr>
              <w:t>关键指标</w:t>
            </w:r>
          </w:p>
        </w:tc>
        <w:tc>
          <w:tcPr>
            <w:tcW w:w="1134" w:type="dxa"/>
            <w:shd w:val="clear" w:color="auto" w:fill="D9E2F3"/>
          </w:tcPr>
          <w:p w14:paraId="541DAF0A">
            <w:pPr>
              <w:spacing w:before="20" w:after="20" w:line="240" w:lineRule="auto"/>
              <w:jc w:val="center"/>
            </w:pPr>
            <w:r>
              <w:rPr>
                <w:rFonts w:ascii="黑体" w:hAnsi="黑体" w:eastAsia="黑体" w:cs="黑体"/>
                <w:b/>
                <w:sz w:val="18"/>
              </w:rPr>
              <w:t>实测值</w:t>
            </w:r>
          </w:p>
        </w:tc>
        <w:tc>
          <w:tcPr>
            <w:tcW w:w="567" w:type="dxa"/>
            <w:shd w:val="clear" w:color="auto" w:fill="D9E2F3"/>
          </w:tcPr>
          <w:p w14:paraId="6BEFD484">
            <w:pPr>
              <w:spacing w:before="20" w:after="20" w:line="240" w:lineRule="auto"/>
              <w:jc w:val="center"/>
            </w:pPr>
            <w:r>
              <w:rPr>
                <w:rFonts w:ascii="黑体" w:hAnsi="黑体" w:eastAsia="黑体" w:cs="黑体"/>
                <w:b/>
                <w:sz w:val="18"/>
              </w:rPr>
              <w:t>结果</w:t>
            </w:r>
          </w:p>
        </w:tc>
      </w:tr>
      <w:tr w14:paraId="421007E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tcPr>
          <w:p w14:paraId="3D3BD653">
            <w:pPr>
              <w:spacing w:before="20" w:after="20" w:line="240" w:lineRule="auto"/>
              <w:jc w:val="left"/>
            </w:pPr>
            <w:r>
              <w:rPr>
                <w:rFonts w:ascii="宋体" w:hAnsi="宋体" w:eastAsia="宋体" w:cs="宋体"/>
                <w:b w:val="0"/>
                <w:sz w:val="18"/>
              </w:rPr>
              <w:t>F01</w:t>
            </w:r>
          </w:p>
        </w:tc>
        <w:tc>
          <w:tcPr>
            <w:tcW w:w="850" w:type="dxa"/>
          </w:tcPr>
          <w:p w14:paraId="61E5DF4B">
            <w:pPr>
              <w:spacing w:before="20" w:after="20" w:line="240" w:lineRule="auto"/>
              <w:jc w:val="center"/>
            </w:pPr>
            <w:r>
              <w:rPr>
                <w:rFonts w:ascii="宋体" w:hAnsi="宋体" w:eastAsia="宋体" w:cs="宋体"/>
                <w:b w:val="0"/>
                <w:sz w:val="18"/>
              </w:rPr>
              <w:t>边缘检测</w:t>
            </w:r>
          </w:p>
        </w:tc>
        <w:tc>
          <w:tcPr>
            <w:tcW w:w="1417" w:type="dxa"/>
          </w:tcPr>
          <w:p w14:paraId="367E0C8B">
            <w:pPr>
              <w:spacing w:before="20" w:after="20" w:line="240" w:lineRule="auto"/>
              <w:jc w:val="center"/>
            </w:pPr>
            <w:r>
              <w:rPr>
                <w:rFonts w:ascii="宋体" w:hAnsi="宋体" w:eastAsia="宋体" w:cs="宋体"/>
                <w:b w:val="0"/>
                <w:sz w:val="18"/>
              </w:rPr>
              <w:t>人员检出</w:t>
            </w:r>
          </w:p>
        </w:tc>
        <w:tc>
          <w:tcPr>
            <w:tcW w:w="1701" w:type="dxa"/>
          </w:tcPr>
          <w:p w14:paraId="77302AEA">
            <w:pPr>
              <w:spacing w:before="20" w:after="20" w:line="240" w:lineRule="auto"/>
              <w:jc w:val="center"/>
            </w:pPr>
            <w:r>
              <w:rPr>
                <w:rFonts w:ascii="宋体" w:hAnsi="宋体" w:eastAsia="宋体" w:cs="宋体"/>
                <w:b w:val="0"/>
                <w:sz w:val="18"/>
              </w:rPr>
              <w:t>检出率≥95%</w:t>
            </w:r>
          </w:p>
        </w:tc>
        <w:tc>
          <w:tcPr>
            <w:tcW w:w="1134" w:type="dxa"/>
          </w:tcPr>
          <w:p w14:paraId="68C28E17">
            <w:pPr>
              <w:spacing w:before="20" w:after="20" w:line="240" w:lineRule="auto"/>
              <w:jc w:val="center"/>
            </w:pPr>
            <w:r>
              <w:rPr>
                <w:rFonts w:ascii="宋体" w:hAnsi="宋体" w:eastAsia="宋体" w:cs="宋体"/>
                <w:b w:val="0"/>
                <w:sz w:val="18"/>
              </w:rPr>
              <w:t>96.2%</w:t>
            </w:r>
          </w:p>
        </w:tc>
        <w:tc>
          <w:tcPr>
            <w:tcW w:w="567" w:type="dxa"/>
          </w:tcPr>
          <w:p w14:paraId="0DCF366F">
            <w:pPr>
              <w:spacing w:before="20" w:after="20" w:line="240" w:lineRule="auto"/>
              <w:jc w:val="center"/>
            </w:pPr>
            <w:r>
              <w:rPr>
                <w:rFonts w:ascii="宋体" w:hAnsi="宋体" w:eastAsia="宋体" w:cs="宋体"/>
                <w:b w:val="0"/>
                <w:sz w:val="18"/>
              </w:rPr>
              <w:t>✓</w:t>
            </w:r>
          </w:p>
        </w:tc>
      </w:tr>
      <w:tr w14:paraId="267EEE5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shd w:val="clear" w:color="auto" w:fill="F5F5F5"/>
          </w:tcPr>
          <w:p w14:paraId="7986A052">
            <w:pPr>
              <w:spacing w:before="20" w:after="20" w:line="240" w:lineRule="auto"/>
              <w:jc w:val="left"/>
            </w:pPr>
            <w:r>
              <w:rPr>
                <w:rFonts w:ascii="宋体" w:hAnsi="宋体" w:eastAsia="宋体" w:cs="宋体"/>
                <w:b w:val="0"/>
                <w:sz w:val="18"/>
              </w:rPr>
              <w:t>F02</w:t>
            </w:r>
          </w:p>
        </w:tc>
        <w:tc>
          <w:tcPr>
            <w:tcW w:w="850" w:type="dxa"/>
            <w:shd w:val="clear" w:color="auto" w:fill="F5F5F5"/>
          </w:tcPr>
          <w:p w14:paraId="4C63BD41">
            <w:pPr>
              <w:spacing w:before="20" w:after="20" w:line="240" w:lineRule="auto"/>
              <w:jc w:val="center"/>
            </w:pPr>
            <w:r>
              <w:rPr>
                <w:rFonts w:ascii="宋体" w:hAnsi="宋体" w:eastAsia="宋体" w:cs="宋体"/>
                <w:b w:val="0"/>
                <w:sz w:val="18"/>
              </w:rPr>
              <w:t>边缘检测</w:t>
            </w:r>
          </w:p>
        </w:tc>
        <w:tc>
          <w:tcPr>
            <w:tcW w:w="1417" w:type="dxa"/>
            <w:shd w:val="clear" w:color="auto" w:fill="F5F5F5"/>
          </w:tcPr>
          <w:p w14:paraId="04CD9D06">
            <w:pPr>
              <w:spacing w:before="20" w:after="20" w:line="240" w:lineRule="auto"/>
              <w:jc w:val="center"/>
            </w:pPr>
            <w:r>
              <w:rPr>
                <w:rFonts w:ascii="宋体" w:hAnsi="宋体" w:eastAsia="宋体" w:cs="宋体"/>
                <w:b w:val="0"/>
                <w:sz w:val="18"/>
              </w:rPr>
              <w:t>安全帽检出</w:t>
            </w:r>
          </w:p>
        </w:tc>
        <w:tc>
          <w:tcPr>
            <w:tcW w:w="1701" w:type="dxa"/>
            <w:shd w:val="clear" w:color="auto" w:fill="F5F5F5"/>
          </w:tcPr>
          <w:p w14:paraId="12B2D8BC">
            <w:pPr>
              <w:spacing w:before="20" w:after="20" w:line="240" w:lineRule="auto"/>
              <w:jc w:val="center"/>
            </w:pPr>
            <w:r>
              <w:rPr>
                <w:rFonts w:ascii="宋体" w:hAnsi="宋体" w:eastAsia="宋体" w:cs="宋体"/>
                <w:b w:val="0"/>
                <w:sz w:val="18"/>
              </w:rPr>
              <w:t>检出率≥90%</w:t>
            </w:r>
          </w:p>
        </w:tc>
        <w:tc>
          <w:tcPr>
            <w:tcW w:w="1134" w:type="dxa"/>
            <w:shd w:val="clear" w:color="auto" w:fill="F5F5F5"/>
          </w:tcPr>
          <w:p w14:paraId="7D8847B7">
            <w:pPr>
              <w:spacing w:before="20" w:after="20" w:line="240" w:lineRule="auto"/>
              <w:jc w:val="center"/>
            </w:pPr>
            <w:r>
              <w:rPr>
                <w:rFonts w:ascii="宋体" w:hAnsi="宋体" w:eastAsia="宋体" w:cs="宋体"/>
                <w:b w:val="0"/>
                <w:sz w:val="18"/>
              </w:rPr>
              <w:t>92.5%</w:t>
            </w:r>
          </w:p>
        </w:tc>
        <w:tc>
          <w:tcPr>
            <w:tcW w:w="567" w:type="dxa"/>
            <w:shd w:val="clear" w:color="auto" w:fill="F5F5F5"/>
          </w:tcPr>
          <w:p w14:paraId="202FB207">
            <w:pPr>
              <w:spacing w:before="20" w:after="20" w:line="240" w:lineRule="auto"/>
              <w:jc w:val="center"/>
            </w:pPr>
            <w:r>
              <w:rPr>
                <w:rFonts w:ascii="宋体" w:hAnsi="宋体" w:eastAsia="宋体" w:cs="宋体"/>
                <w:b w:val="0"/>
                <w:sz w:val="18"/>
              </w:rPr>
              <w:t>✓</w:t>
            </w:r>
          </w:p>
        </w:tc>
      </w:tr>
      <w:tr w14:paraId="2D745F5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tcPr>
          <w:p w14:paraId="01BDB4F8">
            <w:pPr>
              <w:spacing w:before="20" w:after="20" w:line="240" w:lineRule="auto"/>
              <w:jc w:val="left"/>
            </w:pPr>
            <w:r>
              <w:rPr>
                <w:rFonts w:ascii="宋体" w:hAnsi="宋体" w:eastAsia="宋体" w:cs="宋体"/>
                <w:b w:val="0"/>
                <w:sz w:val="18"/>
              </w:rPr>
              <w:t>F03</w:t>
            </w:r>
          </w:p>
        </w:tc>
        <w:tc>
          <w:tcPr>
            <w:tcW w:w="850" w:type="dxa"/>
          </w:tcPr>
          <w:p w14:paraId="03CE647F">
            <w:pPr>
              <w:spacing w:before="20" w:after="20" w:line="240" w:lineRule="auto"/>
              <w:jc w:val="center"/>
            </w:pPr>
            <w:r>
              <w:rPr>
                <w:rFonts w:ascii="宋体" w:hAnsi="宋体" w:eastAsia="宋体" w:cs="宋体"/>
                <w:b w:val="0"/>
                <w:sz w:val="18"/>
              </w:rPr>
              <w:t>边缘检测</w:t>
            </w:r>
          </w:p>
        </w:tc>
        <w:tc>
          <w:tcPr>
            <w:tcW w:w="1417" w:type="dxa"/>
          </w:tcPr>
          <w:p w14:paraId="0FCDF2D4">
            <w:pPr>
              <w:spacing w:before="20" w:after="20" w:line="240" w:lineRule="auto"/>
              <w:jc w:val="center"/>
            </w:pPr>
            <w:r>
              <w:rPr>
                <w:rFonts w:ascii="宋体" w:hAnsi="宋体" w:eastAsia="宋体" w:cs="宋体"/>
                <w:b w:val="0"/>
                <w:sz w:val="18"/>
              </w:rPr>
              <w:t>反光背心检出</w:t>
            </w:r>
          </w:p>
        </w:tc>
        <w:tc>
          <w:tcPr>
            <w:tcW w:w="1701" w:type="dxa"/>
          </w:tcPr>
          <w:p w14:paraId="7FDBBDD7">
            <w:pPr>
              <w:spacing w:before="20" w:after="20" w:line="240" w:lineRule="auto"/>
              <w:jc w:val="center"/>
            </w:pPr>
            <w:r>
              <w:rPr>
                <w:rFonts w:ascii="宋体" w:hAnsi="宋体" w:eastAsia="宋体" w:cs="宋体"/>
                <w:b w:val="0"/>
                <w:sz w:val="18"/>
              </w:rPr>
              <w:t>检出率≥90%</w:t>
            </w:r>
          </w:p>
        </w:tc>
        <w:tc>
          <w:tcPr>
            <w:tcW w:w="1134" w:type="dxa"/>
          </w:tcPr>
          <w:p w14:paraId="3FE80B3C">
            <w:pPr>
              <w:spacing w:before="20" w:after="20" w:line="240" w:lineRule="auto"/>
              <w:jc w:val="center"/>
            </w:pPr>
            <w:r>
              <w:rPr>
                <w:rFonts w:ascii="宋体" w:hAnsi="宋体" w:eastAsia="宋体" w:cs="宋体"/>
                <w:b w:val="0"/>
                <w:sz w:val="18"/>
              </w:rPr>
              <w:t>91.8%</w:t>
            </w:r>
          </w:p>
        </w:tc>
        <w:tc>
          <w:tcPr>
            <w:tcW w:w="567" w:type="dxa"/>
          </w:tcPr>
          <w:p w14:paraId="4635F383">
            <w:pPr>
              <w:spacing w:before="20" w:after="20" w:line="240" w:lineRule="auto"/>
              <w:jc w:val="center"/>
            </w:pPr>
            <w:r>
              <w:rPr>
                <w:rFonts w:ascii="宋体" w:hAnsi="宋体" w:eastAsia="宋体" w:cs="宋体"/>
                <w:b w:val="0"/>
                <w:sz w:val="18"/>
              </w:rPr>
              <w:t>✓</w:t>
            </w:r>
          </w:p>
        </w:tc>
      </w:tr>
      <w:tr w14:paraId="1B1F200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shd w:val="clear" w:color="auto" w:fill="F5F5F5"/>
          </w:tcPr>
          <w:p w14:paraId="09C1D4AA">
            <w:pPr>
              <w:spacing w:before="20" w:after="20" w:line="240" w:lineRule="auto"/>
              <w:jc w:val="left"/>
            </w:pPr>
            <w:r>
              <w:rPr>
                <w:rFonts w:ascii="宋体" w:hAnsi="宋体" w:eastAsia="宋体" w:cs="宋体"/>
                <w:b w:val="0"/>
                <w:sz w:val="18"/>
              </w:rPr>
              <w:t>F04</w:t>
            </w:r>
          </w:p>
        </w:tc>
        <w:tc>
          <w:tcPr>
            <w:tcW w:w="850" w:type="dxa"/>
            <w:shd w:val="clear" w:color="auto" w:fill="F5F5F5"/>
          </w:tcPr>
          <w:p w14:paraId="11B322B5">
            <w:pPr>
              <w:spacing w:before="20" w:after="20" w:line="240" w:lineRule="auto"/>
              <w:jc w:val="center"/>
            </w:pPr>
            <w:r>
              <w:rPr>
                <w:rFonts w:ascii="宋体" w:hAnsi="宋体" w:eastAsia="宋体" w:cs="宋体"/>
                <w:b w:val="0"/>
                <w:sz w:val="18"/>
              </w:rPr>
              <w:t>边缘检测</w:t>
            </w:r>
          </w:p>
        </w:tc>
        <w:tc>
          <w:tcPr>
            <w:tcW w:w="1417" w:type="dxa"/>
            <w:shd w:val="clear" w:color="auto" w:fill="F5F5F5"/>
          </w:tcPr>
          <w:p w14:paraId="25412F00">
            <w:pPr>
              <w:spacing w:before="20" w:after="20" w:line="240" w:lineRule="auto"/>
              <w:jc w:val="center"/>
            </w:pPr>
            <w:r>
              <w:rPr>
                <w:rFonts w:ascii="宋体" w:hAnsi="宋体" w:eastAsia="宋体" w:cs="宋体"/>
                <w:b w:val="0"/>
                <w:sz w:val="18"/>
              </w:rPr>
              <w:t>火焰检出</w:t>
            </w:r>
          </w:p>
        </w:tc>
        <w:tc>
          <w:tcPr>
            <w:tcW w:w="1701" w:type="dxa"/>
            <w:shd w:val="clear" w:color="auto" w:fill="F5F5F5"/>
          </w:tcPr>
          <w:p w14:paraId="3421C70B">
            <w:pPr>
              <w:spacing w:before="20" w:after="20" w:line="240" w:lineRule="auto"/>
              <w:jc w:val="center"/>
            </w:pPr>
            <w:r>
              <w:rPr>
                <w:rFonts w:ascii="宋体" w:hAnsi="宋体" w:eastAsia="宋体" w:cs="宋体"/>
                <w:b w:val="0"/>
                <w:sz w:val="18"/>
              </w:rPr>
              <w:t>召回率≥85%</w:t>
            </w:r>
          </w:p>
        </w:tc>
        <w:tc>
          <w:tcPr>
            <w:tcW w:w="1134" w:type="dxa"/>
            <w:shd w:val="clear" w:color="auto" w:fill="F5F5F5"/>
          </w:tcPr>
          <w:p w14:paraId="46399B2B">
            <w:pPr>
              <w:spacing w:before="20" w:after="20" w:line="240" w:lineRule="auto"/>
              <w:jc w:val="center"/>
            </w:pPr>
            <w:r>
              <w:rPr>
                <w:rFonts w:ascii="宋体" w:hAnsi="宋体" w:eastAsia="宋体" w:cs="宋体"/>
                <w:b w:val="0"/>
                <w:sz w:val="18"/>
              </w:rPr>
              <w:t>88.0%</w:t>
            </w:r>
          </w:p>
        </w:tc>
        <w:tc>
          <w:tcPr>
            <w:tcW w:w="567" w:type="dxa"/>
            <w:shd w:val="clear" w:color="auto" w:fill="F5F5F5"/>
          </w:tcPr>
          <w:p w14:paraId="1B823B88">
            <w:pPr>
              <w:spacing w:before="20" w:after="20" w:line="240" w:lineRule="auto"/>
              <w:jc w:val="center"/>
            </w:pPr>
            <w:r>
              <w:rPr>
                <w:rFonts w:ascii="宋体" w:hAnsi="宋体" w:eastAsia="宋体" w:cs="宋体"/>
                <w:b w:val="0"/>
                <w:sz w:val="18"/>
              </w:rPr>
              <w:t>✓</w:t>
            </w:r>
          </w:p>
        </w:tc>
      </w:tr>
      <w:tr w14:paraId="00C73C4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tcPr>
          <w:p w14:paraId="16E4B1F5">
            <w:pPr>
              <w:spacing w:before="20" w:after="20" w:line="240" w:lineRule="auto"/>
              <w:jc w:val="left"/>
            </w:pPr>
            <w:r>
              <w:rPr>
                <w:rFonts w:ascii="宋体" w:hAnsi="宋体" w:eastAsia="宋体" w:cs="宋体"/>
                <w:b w:val="0"/>
                <w:sz w:val="18"/>
              </w:rPr>
              <w:t>F05</w:t>
            </w:r>
          </w:p>
        </w:tc>
        <w:tc>
          <w:tcPr>
            <w:tcW w:w="850" w:type="dxa"/>
          </w:tcPr>
          <w:p w14:paraId="315C65B9">
            <w:pPr>
              <w:spacing w:before="20" w:after="20" w:line="240" w:lineRule="auto"/>
              <w:jc w:val="center"/>
            </w:pPr>
            <w:r>
              <w:rPr>
                <w:rFonts w:ascii="宋体" w:hAnsi="宋体" w:eastAsia="宋体" w:cs="宋体"/>
                <w:b w:val="0"/>
                <w:sz w:val="18"/>
              </w:rPr>
              <w:t>边缘检测</w:t>
            </w:r>
          </w:p>
        </w:tc>
        <w:tc>
          <w:tcPr>
            <w:tcW w:w="1417" w:type="dxa"/>
          </w:tcPr>
          <w:p w14:paraId="0E59415C">
            <w:pPr>
              <w:spacing w:before="20" w:after="20" w:line="240" w:lineRule="auto"/>
              <w:jc w:val="center"/>
            </w:pPr>
            <w:r>
              <w:rPr>
                <w:rFonts w:ascii="宋体" w:hAnsi="宋体" w:eastAsia="宋体" w:cs="宋体"/>
                <w:b w:val="0"/>
                <w:sz w:val="18"/>
              </w:rPr>
              <w:t>车辆检出</w:t>
            </w:r>
          </w:p>
        </w:tc>
        <w:tc>
          <w:tcPr>
            <w:tcW w:w="1701" w:type="dxa"/>
          </w:tcPr>
          <w:p w14:paraId="0193B3E5">
            <w:pPr>
              <w:spacing w:before="20" w:after="20" w:line="240" w:lineRule="auto"/>
              <w:jc w:val="center"/>
            </w:pPr>
            <w:r>
              <w:rPr>
                <w:rFonts w:ascii="宋体" w:hAnsi="宋体" w:eastAsia="宋体" w:cs="宋体"/>
                <w:b w:val="0"/>
                <w:sz w:val="18"/>
              </w:rPr>
              <w:t>检出率≥90%</w:t>
            </w:r>
          </w:p>
        </w:tc>
        <w:tc>
          <w:tcPr>
            <w:tcW w:w="1134" w:type="dxa"/>
          </w:tcPr>
          <w:p w14:paraId="58CAC978">
            <w:pPr>
              <w:spacing w:before="20" w:after="20" w:line="240" w:lineRule="auto"/>
              <w:jc w:val="center"/>
            </w:pPr>
            <w:r>
              <w:rPr>
                <w:rFonts w:ascii="宋体" w:hAnsi="宋体" w:eastAsia="宋体" w:cs="宋体"/>
                <w:b w:val="0"/>
                <w:sz w:val="18"/>
              </w:rPr>
              <w:t>94.1%</w:t>
            </w:r>
          </w:p>
        </w:tc>
        <w:tc>
          <w:tcPr>
            <w:tcW w:w="567" w:type="dxa"/>
          </w:tcPr>
          <w:p w14:paraId="7ED8D887">
            <w:pPr>
              <w:spacing w:before="20" w:after="20" w:line="240" w:lineRule="auto"/>
              <w:jc w:val="center"/>
            </w:pPr>
            <w:r>
              <w:rPr>
                <w:rFonts w:ascii="宋体" w:hAnsi="宋体" w:eastAsia="宋体" w:cs="宋体"/>
                <w:b w:val="0"/>
                <w:sz w:val="18"/>
              </w:rPr>
              <w:t>✓</w:t>
            </w:r>
          </w:p>
        </w:tc>
      </w:tr>
      <w:tr w14:paraId="7968333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shd w:val="clear" w:color="auto" w:fill="F5F5F5"/>
          </w:tcPr>
          <w:p w14:paraId="5DD708E0">
            <w:pPr>
              <w:spacing w:before="20" w:after="20" w:line="240" w:lineRule="auto"/>
              <w:jc w:val="left"/>
            </w:pPr>
            <w:r>
              <w:rPr>
                <w:rFonts w:ascii="宋体" w:hAnsi="宋体" w:eastAsia="宋体" w:cs="宋体"/>
                <w:b w:val="0"/>
                <w:sz w:val="18"/>
              </w:rPr>
              <w:t>F06</w:t>
            </w:r>
          </w:p>
        </w:tc>
        <w:tc>
          <w:tcPr>
            <w:tcW w:w="850" w:type="dxa"/>
            <w:shd w:val="clear" w:color="auto" w:fill="F5F5F5"/>
          </w:tcPr>
          <w:p w14:paraId="1964A135">
            <w:pPr>
              <w:spacing w:before="20" w:after="20" w:line="240" w:lineRule="auto"/>
              <w:jc w:val="center"/>
            </w:pPr>
            <w:r>
              <w:rPr>
                <w:rFonts w:ascii="宋体" w:hAnsi="宋体" w:eastAsia="宋体" w:cs="宋体"/>
                <w:b w:val="0"/>
                <w:sz w:val="18"/>
              </w:rPr>
              <w:t>违规判定</w:t>
            </w:r>
          </w:p>
        </w:tc>
        <w:tc>
          <w:tcPr>
            <w:tcW w:w="1417" w:type="dxa"/>
            <w:shd w:val="clear" w:color="auto" w:fill="F5F5F5"/>
          </w:tcPr>
          <w:p w14:paraId="1F2C1933">
            <w:pPr>
              <w:spacing w:before="20" w:after="20" w:line="240" w:lineRule="auto"/>
              <w:jc w:val="center"/>
            </w:pPr>
            <w:r>
              <w:rPr>
                <w:rFonts w:ascii="宋体" w:hAnsi="宋体" w:eastAsia="宋体" w:cs="宋体"/>
                <w:b w:val="0"/>
                <w:sz w:val="18"/>
              </w:rPr>
              <w:t>安全帽缺失</w:t>
            </w:r>
          </w:p>
        </w:tc>
        <w:tc>
          <w:tcPr>
            <w:tcW w:w="1701" w:type="dxa"/>
            <w:shd w:val="clear" w:color="auto" w:fill="F5F5F5"/>
          </w:tcPr>
          <w:p w14:paraId="34CDE20E">
            <w:pPr>
              <w:spacing w:before="20" w:after="20" w:line="240" w:lineRule="auto"/>
              <w:jc w:val="center"/>
            </w:pPr>
            <w:r>
              <w:rPr>
                <w:rFonts w:ascii="宋体" w:hAnsi="宋体" w:eastAsia="宋体" w:cs="宋体"/>
                <w:b w:val="0"/>
                <w:sz w:val="18"/>
              </w:rPr>
              <w:t>准确率≥90%</w:t>
            </w:r>
          </w:p>
        </w:tc>
        <w:tc>
          <w:tcPr>
            <w:tcW w:w="1134" w:type="dxa"/>
            <w:shd w:val="clear" w:color="auto" w:fill="F5F5F5"/>
          </w:tcPr>
          <w:p w14:paraId="19E28141">
            <w:pPr>
              <w:spacing w:before="20" w:after="20" w:line="240" w:lineRule="auto"/>
              <w:jc w:val="center"/>
            </w:pPr>
            <w:r>
              <w:rPr>
                <w:rFonts w:ascii="宋体" w:hAnsi="宋体" w:eastAsia="宋体" w:cs="宋体"/>
                <w:b w:val="0"/>
                <w:sz w:val="18"/>
              </w:rPr>
              <w:t>93.0%</w:t>
            </w:r>
          </w:p>
        </w:tc>
        <w:tc>
          <w:tcPr>
            <w:tcW w:w="567" w:type="dxa"/>
            <w:shd w:val="clear" w:color="auto" w:fill="F5F5F5"/>
          </w:tcPr>
          <w:p w14:paraId="090CECCF">
            <w:pPr>
              <w:spacing w:before="20" w:after="20" w:line="240" w:lineRule="auto"/>
              <w:jc w:val="center"/>
            </w:pPr>
            <w:r>
              <w:rPr>
                <w:rFonts w:ascii="宋体" w:hAnsi="宋体" w:eastAsia="宋体" w:cs="宋体"/>
                <w:b w:val="0"/>
                <w:sz w:val="18"/>
              </w:rPr>
              <w:t>✓</w:t>
            </w:r>
          </w:p>
        </w:tc>
      </w:tr>
      <w:tr w14:paraId="65F15C6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tcPr>
          <w:p w14:paraId="47222923">
            <w:pPr>
              <w:spacing w:before="20" w:after="20" w:line="240" w:lineRule="auto"/>
              <w:jc w:val="left"/>
            </w:pPr>
            <w:r>
              <w:rPr>
                <w:rFonts w:ascii="宋体" w:hAnsi="宋体" w:eastAsia="宋体" w:cs="宋体"/>
                <w:b w:val="0"/>
                <w:sz w:val="18"/>
              </w:rPr>
              <w:t>F07</w:t>
            </w:r>
          </w:p>
        </w:tc>
        <w:tc>
          <w:tcPr>
            <w:tcW w:w="850" w:type="dxa"/>
          </w:tcPr>
          <w:p w14:paraId="594E1151">
            <w:pPr>
              <w:spacing w:before="20" w:after="20" w:line="240" w:lineRule="auto"/>
              <w:jc w:val="center"/>
            </w:pPr>
            <w:r>
              <w:rPr>
                <w:rFonts w:ascii="宋体" w:hAnsi="宋体" w:eastAsia="宋体" w:cs="宋体"/>
                <w:b w:val="0"/>
                <w:sz w:val="18"/>
              </w:rPr>
              <w:t>违规判定</w:t>
            </w:r>
          </w:p>
        </w:tc>
        <w:tc>
          <w:tcPr>
            <w:tcW w:w="1417" w:type="dxa"/>
          </w:tcPr>
          <w:p w14:paraId="3855B86C">
            <w:pPr>
              <w:spacing w:before="20" w:after="20" w:line="240" w:lineRule="auto"/>
              <w:jc w:val="center"/>
            </w:pPr>
            <w:r>
              <w:rPr>
                <w:rFonts w:ascii="宋体" w:hAnsi="宋体" w:eastAsia="宋体" w:cs="宋体"/>
                <w:b w:val="0"/>
                <w:sz w:val="18"/>
              </w:rPr>
              <w:t>背心缺失</w:t>
            </w:r>
          </w:p>
        </w:tc>
        <w:tc>
          <w:tcPr>
            <w:tcW w:w="1701" w:type="dxa"/>
          </w:tcPr>
          <w:p w14:paraId="7ECA54C4">
            <w:pPr>
              <w:spacing w:before="20" w:after="20" w:line="240" w:lineRule="auto"/>
              <w:jc w:val="center"/>
            </w:pPr>
            <w:r>
              <w:rPr>
                <w:rFonts w:ascii="宋体" w:hAnsi="宋体" w:eastAsia="宋体" w:cs="宋体"/>
                <w:b w:val="0"/>
                <w:sz w:val="18"/>
              </w:rPr>
              <w:t>准确率≥90%</w:t>
            </w:r>
          </w:p>
        </w:tc>
        <w:tc>
          <w:tcPr>
            <w:tcW w:w="1134" w:type="dxa"/>
          </w:tcPr>
          <w:p w14:paraId="75E941DC">
            <w:pPr>
              <w:spacing w:before="20" w:after="20" w:line="240" w:lineRule="auto"/>
              <w:jc w:val="center"/>
            </w:pPr>
            <w:r>
              <w:rPr>
                <w:rFonts w:ascii="宋体" w:hAnsi="宋体" w:eastAsia="宋体" w:cs="宋体"/>
                <w:b w:val="0"/>
                <w:sz w:val="18"/>
              </w:rPr>
              <w:t>91.0%</w:t>
            </w:r>
          </w:p>
        </w:tc>
        <w:tc>
          <w:tcPr>
            <w:tcW w:w="567" w:type="dxa"/>
          </w:tcPr>
          <w:p w14:paraId="27C8D229">
            <w:pPr>
              <w:spacing w:before="20" w:after="20" w:line="240" w:lineRule="auto"/>
              <w:jc w:val="center"/>
            </w:pPr>
            <w:r>
              <w:rPr>
                <w:rFonts w:ascii="宋体" w:hAnsi="宋体" w:eastAsia="宋体" w:cs="宋体"/>
                <w:b w:val="0"/>
                <w:sz w:val="18"/>
              </w:rPr>
              <w:t>✓</w:t>
            </w:r>
          </w:p>
        </w:tc>
      </w:tr>
      <w:tr w14:paraId="1F45198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shd w:val="clear" w:color="auto" w:fill="F5F5F5"/>
          </w:tcPr>
          <w:p w14:paraId="3617E27B">
            <w:pPr>
              <w:spacing w:before="20" w:after="20" w:line="240" w:lineRule="auto"/>
              <w:jc w:val="left"/>
            </w:pPr>
            <w:r>
              <w:rPr>
                <w:rFonts w:ascii="宋体" w:hAnsi="宋体" w:eastAsia="宋体" w:cs="宋体"/>
                <w:b w:val="0"/>
                <w:sz w:val="18"/>
              </w:rPr>
              <w:t>F08</w:t>
            </w:r>
          </w:p>
        </w:tc>
        <w:tc>
          <w:tcPr>
            <w:tcW w:w="850" w:type="dxa"/>
            <w:shd w:val="clear" w:color="auto" w:fill="F5F5F5"/>
          </w:tcPr>
          <w:p w14:paraId="3255F1A5">
            <w:pPr>
              <w:spacing w:before="20" w:after="20" w:line="240" w:lineRule="auto"/>
              <w:jc w:val="center"/>
            </w:pPr>
            <w:r>
              <w:rPr>
                <w:rFonts w:ascii="宋体" w:hAnsi="宋体" w:eastAsia="宋体" w:cs="宋体"/>
                <w:b w:val="0"/>
                <w:sz w:val="18"/>
              </w:rPr>
              <w:t>违规判定</w:t>
            </w:r>
          </w:p>
        </w:tc>
        <w:tc>
          <w:tcPr>
            <w:tcW w:w="1417" w:type="dxa"/>
            <w:shd w:val="clear" w:color="auto" w:fill="F5F5F5"/>
          </w:tcPr>
          <w:p w14:paraId="5AF5025A">
            <w:pPr>
              <w:spacing w:before="20" w:after="20" w:line="240" w:lineRule="auto"/>
              <w:jc w:val="center"/>
            </w:pPr>
            <w:r>
              <w:rPr>
                <w:rFonts w:ascii="宋体" w:hAnsi="宋体" w:eastAsia="宋体" w:cs="宋体"/>
                <w:b w:val="0"/>
                <w:sz w:val="18"/>
              </w:rPr>
              <w:t>5s同区去重</w:t>
            </w:r>
          </w:p>
        </w:tc>
        <w:tc>
          <w:tcPr>
            <w:tcW w:w="1701" w:type="dxa"/>
            <w:shd w:val="clear" w:color="auto" w:fill="F5F5F5"/>
          </w:tcPr>
          <w:p w14:paraId="6D8845C1">
            <w:pPr>
              <w:spacing w:before="20" w:after="20" w:line="240" w:lineRule="auto"/>
              <w:jc w:val="center"/>
            </w:pPr>
            <w:r>
              <w:rPr>
                <w:rFonts w:ascii="宋体" w:hAnsi="宋体" w:eastAsia="宋体" w:cs="宋体"/>
                <w:b w:val="0"/>
                <w:sz w:val="18"/>
              </w:rPr>
              <w:t>无重复报警</w:t>
            </w:r>
          </w:p>
        </w:tc>
        <w:tc>
          <w:tcPr>
            <w:tcW w:w="1134" w:type="dxa"/>
            <w:shd w:val="clear" w:color="auto" w:fill="F5F5F5"/>
          </w:tcPr>
          <w:p w14:paraId="31AE6B21">
            <w:pPr>
              <w:spacing w:before="20" w:after="20" w:line="240" w:lineRule="auto"/>
              <w:jc w:val="center"/>
            </w:pPr>
            <w:r>
              <w:rPr>
                <w:rFonts w:ascii="宋体" w:hAnsi="宋体" w:eastAsia="宋体" w:cs="宋体"/>
                <w:b w:val="0"/>
                <w:sz w:val="18"/>
              </w:rPr>
              <w:t>正常</w:t>
            </w:r>
          </w:p>
        </w:tc>
        <w:tc>
          <w:tcPr>
            <w:tcW w:w="567" w:type="dxa"/>
            <w:shd w:val="clear" w:color="auto" w:fill="F5F5F5"/>
          </w:tcPr>
          <w:p w14:paraId="6130144F">
            <w:pPr>
              <w:spacing w:before="20" w:after="20" w:line="240" w:lineRule="auto"/>
              <w:jc w:val="center"/>
            </w:pPr>
            <w:r>
              <w:rPr>
                <w:rFonts w:ascii="宋体" w:hAnsi="宋体" w:eastAsia="宋体" w:cs="宋体"/>
                <w:b w:val="0"/>
                <w:sz w:val="18"/>
              </w:rPr>
              <w:t>✓</w:t>
            </w:r>
          </w:p>
        </w:tc>
      </w:tr>
      <w:tr w14:paraId="4A47244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tcPr>
          <w:p w14:paraId="3FF1BC35">
            <w:pPr>
              <w:spacing w:before="20" w:after="20" w:line="240" w:lineRule="auto"/>
              <w:jc w:val="left"/>
            </w:pPr>
            <w:r>
              <w:rPr>
                <w:rFonts w:ascii="宋体" w:hAnsi="宋体" w:eastAsia="宋体" w:cs="宋体"/>
                <w:b w:val="0"/>
                <w:sz w:val="18"/>
              </w:rPr>
              <w:t>F09</w:t>
            </w:r>
          </w:p>
        </w:tc>
        <w:tc>
          <w:tcPr>
            <w:tcW w:w="850" w:type="dxa"/>
          </w:tcPr>
          <w:p w14:paraId="7AB05907">
            <w:pPr>
              <w:spacing w:before="20" w:after="20" w:line="240" w:lineRule="auto"/>
              <w:jc w:val="center"/>
            </w:pPr>
            <w:r>
              <w:rPr>
                <w:rFonts w:ascii="宋体" w:hAnsi="宋体" w:eastAsia="宋体" w:cs="宋体"/>
                <w:b w:val="0"/>
                <w:sz w:val="18"/>
              </w:rPr>
              <w:t>LLM分析</w:t>
            </w:r>
          </w:p>
        </w:tc>
        <w:tc>
          <w:tcPr>
            <w:tcW w:w="1417" w:type="dxa"/>
          </w:tcPr>
          <w:p w14:paraId="498642CD">
            <w:pPr>
              <w:spacing w:before="20" w:after="20" w:line="240" w:lineRule="auto"/>
              <w:jc w:val="center"/>
            </w:pPr>
            <w:r>
              <w:rPr>
                <w:rFonts w:ascii="宋体" w:hAnsi="宋体" w:eastAsia="宋体" w:cs="宋体"/>
                <w:b w:val="0"/>
                <w:sz w:val="18"/>
              </w:rPr>
              <w:t>单人违规</w:t>
            </w:r>
          </w:p>
        </w:tc>
        <w:tc>
          <w:tcPr>
            <w:tcW w:w="1701" w:type="dxa"/>
          </w:tcPr>
          <w:p w14:paraId="5F14DC0A">
            <w:pPr>
              <w:spacing w:before="20" w:after="20" w:line="240" w:lineRule="auto"/>
              <w:jc w:val="center"/>
            </w:pPr>
            <w:r>
              <w:rPr>
                <w:rFonts w:ascii="宋体" w:hAnsi="宋体" w:eastAsia="宋体" w:cs="宋体"/>
                <w:b w:val="0"/>
                <w:sz w:val="18"/>
              </w:rPr>
              <w:t>格式符合模板</w:t>
            </w:r>
          </w:p>
        </w:tc>
        <w:tc>
          <w:tcPr>
            <w:tcW w:w="1134" w:type="dxa"/>
          </w:tcPr>
          <w:p w14:paraId="49C2324D">
            <w:pPr>
              <w:spacing w:before="20" w:after="20" w:line="240" w:lineRule="auto"/>
              <w:jc w:val="center"/>
            </w:pPr>
            <w:r>
              <w:rPr>
                <w:rFonts w:ascii="宋体" w:hAnsi="宋体" w:eastAsia="宋体" w:cs="宋体"/>
                <w:b w:val="0"/>
                <w:sz w:val="18"/>
              </w:rPr>
              <w:t>符合</w:t>
            </w:r>
          </w:p>
        </w:tc>
        <w:tc>
          <w:tcPr>
            <w:tcW w:w="567" w:type="dxa"/>
          </w:tcPr>
          <w:p w14:paraId="7E0BBEC2">
            <w:pPr>
              <w:spacing w:before="20" w:after="20" w:line="240" w:lineRule="auto"/>
              <w:jc w:val="center"/>
            </w:pPr>
            <w:r>
              <w:rPr>
                <w:rFonts w:ascii="宋体" w:hAnsi="宋体" w:eastAsia="宋体" w:cs="宋体"/>
                <w:b w:val="0"/>
                <w:sz w:val="18"/>
              </w:rPr>
              <w:t>✓</w:t>
            </w:r>
          </w:p>
        </w:tc>
      </w:tr>
      <w:tr w14:paraId="67A9B75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shd w:val="clear" w:color="auto" w:fill="F5F5F5"/>
          </w:tcPr>
          <w:p w14:paraId="513E5B0D">
            <w:pPr>
              <w:spacing w:before="20" w:after="20" w:line="240" w:lineRule="auto"/>
              <w:jc w:val="left"/>
            </w:pPr>
            <w:r>
              <w:rPr>
                <w:rFonts w:ascii="宋体" w:hAnsi="宋体" w:eastAsia="宋体" w:cs="宋体"/>
                <w:b w:val="0"/>
                <w:sz w:val="18"/>
              </w:rPr>
              <w:t>F10</w:t>
            </w:r>
          </w:p>
        </w:tc>
        <w:tc>
          <w:tcPr>
            <w:tcW w:w="850" w:type="dxa"/>
            <w:shd w:val="clear" w:color="auto" w:fill="F5F5F5"/>
          </w:tcPr>
          <w:p w14:paraId="6B7843D2">
            <w:pPr>
              <w:spacing w:before="20" w:after="20" w:line="240" w:lineRule="auto"/>
              <w:jc w:val="center"/>
            </w:pPr>
            <w:r>
              <w:rPr>
                <w:rFonts w:ascii="宋体" w:hAnsi="宋体" w:eastAsia="宋体" w:cs="宋体"/>
                <w:b w:val="0"/>
                <w:sz w:val="18"/>
              </w:rPr>
              <w:t>LLM分析</w:t>
            </w:r>
          </w:p>
        </w:tc>
        <w:tc>
          <w:tcPr>
            <w:tcW w:w="1417" w:type="dxa"/>
            <w:shd w:val="clear" w:color="auto" w:fill="F5F5F5"/>
          </w:tcPr>
          <w:p w14:paraId="48AAD305">
            <w:pPr>
              <w:spacing w:before="20" w:after="20" w:line="240" w:lineRule="auto"/>
              <w:jc w:val="center"/>
            </w:pPr>
            <w:r>
              <w:rPr>
                <w:rFonts w:ascii="宋体" w:hAnsi="宋体" w:eastAsia="宋体" w:cs="宋体"/>
                <w:b w:val="0"/>
                <w:sz w:val="18"/>
              </w:rPr>
              <w:t>多人交互</w:t>
            </w:r>
          </w:p>
        </w:tc>
        <w:tc>
          <w:tcPr>
            <w:tcW w:w="1701" w:type="dxa"/>
            <w:shd w:val="clear" w:color="auto" w:fill="F5F5F5"/>
          </w:tcPr>
          <w:p w14:paraId="1E142E4E">
            <w:pPr>
              <w:spacing w:before="20" w:after="20" w:line="240" w:lineRule="auto"/>
              <w:jc w:val="center"/>
            </w:pPr>
            <w:r>
              <w:rPr>
                <w:rFonts w:ascii="宋体" w:hAnsi="宋体" w:eastAsia="宋体" w:cs="宋体"/>
                <w:b w:val="0"/>
                <w:sz w:val="18"/>
              </w:rPr>
              <w:t>区分所有类型</w:t>
            </w:r>
          </w:p>
        </w:tc>
        <w:tc>
          <w:tcPr>
            <w:tcW w:w="1134" w:type="dxa"/>
            <w:shd w:val="clear" w:color="auto" w:fill="F5F5F5"/>
          </w:tcPr>
          <w:p w14:paraId="3FD3F5AE">
            <w:pPr>
              <w:spacing w:before="20" w:after="20" w:line="240" w:lineRule="auto"/>
              <w:jc w:val="center"/>
            </w:pPr>
            <w:r>
              <w:rPr>
                <w:rFonts w:ascii="宋体" w:hAnsi="宋体" w:eastAsia="宋体" w:cs="宋体"/>
                <w:b w:val="0"/>
                <w:sz w:val="18"/>
              </w:rPr>
              <w:t>符合</w:t>
            </w:r>
          </w:p>
        </w:tc>
        <w:tc>
          <w:tcPr>
            <w:tcW w:w="567" w:type="dxa"/>
            <w:shd w:val="clear" w:color="auto" w:fill="F5F5F5"/>
          </w:tcPr>
          <w:p w14:paraId="45904ABD">
            <w:pPr>
              <w:spacing w:before="20" w:after="20" w:line="240" w:lineRule="auto"/>
              <w:jc w:val="center"/>
            </w:pPr>
            <w:r>
              <w:rPr>
                <w:rFonts w:ascii="宋体" w:hAnsi="宋体" w:eastAsia="宋体" w:cs="宋体"/>
                <w:b w:val="0"/>
                <w:sz w:val="18"/>
              </w:rPr>
              <w:t>✓</w:t>
            </w:r>
          </w:p>
        </w:tc>
      </w:tr>
      <w:tr w14:paraId="63B7C89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tcPr>
          <w:p w14:paraId="207CD16C">
            <w:pPr>
              <w:spacing w:before="20" w:after="20" w:line="240" w:lineRule="auto"/>
              <w:jc w:val="left"/>
            </w:pPr>
            <w:r>
              <w:rPr>
                <w:rFonts w:ascii="宋体" w:hAnsi="宋体" w:eastAsia="宋体" w:cs="宋体"/>
                <w:b w:val="0"/>
                <w:sz w:val="18"/>
              </w:rPr>
              <w:t>F11</w:t>
            </w:r>
          </w:p>
        </w:tc>
        <w:tc>
          <w:tcPr>
            <w:tcW w:w="850" w:type="dxa"/>
          </w:tcPr>
          <w:p w14:paraId="5F2EF6AC">
            <w:pPr>
              <w:spacing w:before="20" w:after="20" w:line="240" w:lineRule="auto"/>
              <w:jc w:val="center"/>
            </w:pPr>
            <w:r>
              <w:rPr>
                <w:rFonts w:ascii="宋体" w:hAnsi="宋体" w:eastAsia="宋体" w:cs="宋体"/>
                <w:b w:val="0"/>
                <w:sz w:val="18"/>
              </w:rPr>
              <w:t>LLM分析</w:t>
            </w:r>
          </w:p>
        </w:tc>
        <w:tc>
          <w:tcPr>
            <w:tcW w:w="1417" w:type="dxa"/>
          </w:tcPr>
          <w:p w14:paraId="7AEA4B21">
            <w:pPr>
              <w:spacing w:before="20" w:after="20" w:line="240" w:lineRule="auto"/>
              <w:jc w:val="center"/>
            </w:pPr>
            <w:r>
              <w:rPr>
                <w:rFonts w:ascii="宋体" w:hAnsi="宋体" w:eastAsia="宋体" w:cs="宋体"/>
                <w:b w:val="0"/>
                <w:sz w:val="18"/>
              </w:rPr>
              <w:t>火焰场景</w:t>
            </w:r>
          </w:p>
        </w:tc>
        <w:tc>
          <w:tcPr>
            <w:tcW w:w="1701" w:type="dxa"/>
          </w:tcPr>
          <w:p w14:paraId="4A38C3AC">
            <w:pPr>
              <w:spacing w:before="20" w:after="20" w:line="240" w:lineRule="auto"/>
              <w:jc w:val="center"/>
            </w:pPr>
            <w:r>
              <w:rPr>
                <w:rFonts w:ascii="宋体" w:hAnsi="宋体" w:eastAsia="宋体" w:cs="宋体"/>
                <w:b w:val="0"/>
                <w:sz w:val="18"/>
              </w:rPr>
              <w:t>判定A级</w:t>
            </w:r>
          </w:p>
        </w:tc>
        <w:tc>
          <w:tcPr>
            <w:tcW w:w="1134" w:type="dxa"/>
          </w:tcPr>
          <w:p w14:paraId="035982B0">
            <w:pPr>
              <w:spacing w:before="20" w:after="20" w:line="240" w:lineRule="auto"/>
              <w:jc w:val="center"/>
            </w:pPr>
            <w:r>
              <w:rPr>
                <w:rFonts w:ascii="宋体" w:hAnsi="宋体" w:eastAsia="宋体" w:cs="宋体"/>
                <w:b w:val="0"/>
                <w:sz w:val="18"/>
              </w:rPr>
              <w:t>100%</w:t>
            </w:r>
          </w:p>
        </w:tc>
        <w:tc>
          <w:tcPr>
            <w:tcW w:w="567" w:type="dxa"/>
          </w:tcPr>
          <w:p w14:paraId="17EE7622">
            <w:pPr>
              <w:spacing w:before="20" w:after="20" w:line="240" w:lineRule="auto"/>
              <w:jc w:val="center"/>
            </w:pPr>
            <w:r>
              <w:rPr>
                <w:rFonts w:ascii="宋体" w:hAnsi="宋体" w:eastAsia="宋体" w:cs="宋体"/>
                <w:b w:val="0"/>
                <w:sz w:val="18"/>
              </w:rPr>
              <w:t>✓</w:t>
            </w:r>
          </w:p>
        </w:tc>
      </w:tr>
      <w:tr w14:paraId="2D42A4E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shd w:val="clear" w:color="auto" w:fill="F5F5F5"/>
          </w:tcPr>
          <w:p w14:paraId="0BF6A3C0">
            <w:pPr>
              <w:spacing w:before="20" w:after="20" w:line="240" w:lineRule="auto"/>
              <w:jc w:val="left"/>
            </w:pPr>
            <w:r>
              <w:rPr>
                <w:rFonts w:ascii="宋体" w:hAnsi="宋体" w:eastAsia="宋体" w:cs="宋体"/>
                <w:b w:val="0"/>
                <w:sz w:val="18"/>
              </w:rPr>
              <w:t>F12</w:t>
            </w:r>
          </w:p>
        </w:tc>
        <w:tc>
          <w:tcPr>
            <w:tcW w:w="850" w:type="dxa"/>
            <w:shd w:val="clear" w:color="auto" w:fill="F5F5F5"/>
          </w:tcPr>
          <w:p w14:paraId="0D8B63E7">
            <w:pPr>
              <w:spacing w:before="20" w:after="20" w:line="240" w:lineRule="auto"/>
              <w:jc w:val="center"/>
            </w:pPr>
            <w:r>
              <w:rPr>
                <w:rFonts w:ascii="宋体" w:hAnsi="宋体" w:eastAsia="宋体" w:cs="宋体"/>
                <w:b w:val="0"/>
                <w:sz w:val="18"/>
              </w:rPr>
              <w:t>工具调用</w:t>
            </w:r>
          </w:p>
        </w:tc>
        <w:tc>
          <w:tcPr>
            <w:tcW w:w="1417" w:type="dxa"/>
            <w:shd w:val="clear" w:color="auto" w:fill="F5F5F5"/>
          </w:tcPr>
          <w:p w14:paraId="0ED0115D">
            <w:pPr>
              <w:spacing w:before="20" w:after="20" w:line="240" w:lineRule="auto"/>
              <w:jc w:val="center"/>
            </w:pPr>
            <w:r>
              <w:rPr>
                <w:rFonts w:ascii="宋体" w:hAnsi="宋体" w:eastAsia="宋体" w:cs="宋体"/>
                <w:b w:val="0"/>
                <w:sz w:val="18"/>
              </w:rPr>
              <w:t>数据库存储</w:t>
            </w:r>
          </w:p>
        </w:tc>
        <w:tc>
          <w:tcPr>
            <w:tcW w:w="1701" w:type="dxa"/>
            <w:shd w:val="clear" w:color="auto" w:fill="F5F5F5"/>
          </w:tcPr>
          <w:p w14:paraId="4C1D8F56">
            <w:pPr>
              <w:spacing w:before="20" w:after="20" w:line="240" w:lineRule="auto"/>
              <w:jc w:val="center"/>
            </w:pPr>
            <w:r>
              <w:rPr>
                <w:rFonts w:ascii="宋体" w:hAnsi="宋体" w:eastAsia="宋体" w:cs="宋体"/>
                <w:b w:val="0"/>
                <w:sz w:val="18"/>
              </w:rPr>
              <w:t>SQLite写入</w:t>
            </w:r>
          </w:p>
        </w:tc>
        <w:tc>
          <w:tcPr>
            <w:tcW w:w="1134" w:type="dxa"/>
            <w:shd w:val="clear" w:color="auto" w:fill="F5F5F5"/>
          </w:tcPr>
          <w:p w14:paraId="24717334">
            <w:pPr>
              <w:spacing w:before="20" w:after="20" w:line="240" w:lineRule="auto"/>
              <w:jc w:val="center"/>
            </w:pPr>
            <w:r>
              <w:rPr>
                <w:rFonts w:ascii="宋体" w:hAnsi="宋体" w:eastAsia="宋体" w:cs="宋体"/>
                <w:b w:val="0"/>
                <w:sz w:val="18"/>
              </w:rPr>
              <w:t>正常</w:t>
            </w:r>
          </w:p>
        </w:tc>
        <w:tc>
          <w:tcPr>
            <w:tcW w:w="567" w:type="dxa"/>
            <w:shd w:val="clear" w:color="auto" w:fill="F5F5F5"/>
          </w:tcPr>
          <w:p w14:paraId="0090EB0D">
            <w:pPr>
              <w:spacing w:before="20" w:after="20" w:line="240" w:lineRule="auto"/>
              <w:jc w:val="center"/>
            </w:pPr>
            <w:r>
              <w:rPr>
                <w:rFonts w:ascii="宋体" w:hAnsi="宋体" w:eastAsia="宋体" w:cs="宋体"/>
                <w:b w:val="0"/>
                <w:sz w:val="18"/>
              </w:rPr>
              <w:t>✓</w:t>
            </w:r>
          </w:p>
        </w:tc>
      </w:tr>
      <w:tr w14:paraId="5CCEF24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tcPr>
          <w:p w14:paraId="375ADA8C">
            <w:pPr>
              <w:spacing w:before="20" w:after="20" w:line="240" w:lineRule="auto"/>
              <w:jc w:val="left"/>
            </w:pPr>
            <w:r>
              <w:rPr>
                <w:rFonts w:ascii="宋体" w:hAnsi="宋体" w:eastAsia="宋体" w:cs="宋体"/>
                <w:b w:val="0"/>
                <w:sz w:val="18"/>
              </w:rPr>
              <w:t>F13</w:t>
            </w:r>
          </w:p>
        </w:tc>
        <w:tc>
          <w:tcPr>
            <w:tcW w:w="850" w:type="dxa"/>
          </w:tcPr>
          <w:p w14:paraId="6F3D9578">
            <w:pPr>
              <w:spacing w:before="20" w:after="20" w:line="240" w:lineRule="auto"/>
              <w:jc w:val="center"/>
            </w:pPr>
            <w:r>
              <w:rPr>
                <w:rFonts w:ascii="宋体" w:hAnsi="宋体" w:eastAsia="宋体" w:cs="宋体"/>
                <w:b w:val="0"/>
                <w:sz w:val="18"/>
              </w:rPr>
              <w:t>工具调用</w:t>
            </w:r>
          </w:p>
        </w:tc>
        <w:tc>
          <w:tcPr>
            <w:tcW w:w="1417" w:type="dxa"/>
          </w:tcPr>
          <w:p w14:paraId="6FF20AB6">
            <w:pPr>
              <w:spacing w:before="20" w:after="20" w:line="240" w:lineRule="auto"/>
              <w:jc w:val="center"/>
            </w:pPr>
            <w:r>
              <w:rPr>
                <w:rFonts w:ascii="宋体" w:hAnsi="宋体" w:eastAsia="宋体" w:cs="宋体"/>
                <w:b w:val="0"/>
                <w:sz w:val="18"/>
              </w:rPr>
              <w:t>钉钉推送</w:t>
            </w:r>
          </w:p>
        </w:tc>
        <w:tc>
          <w:tcPr>
            <w:tcW w:w="1701" w:type="dxa"/>
          </w:tcPr>
          <w:p w14:paraId="19F22BF3">
            <w:pPr>
              <w:spacing w:before="20" w:after="20" w:line="240" w:lineRule="auto"/>
              <w:jc w:val="center"/>
            </w:pPr>
            <w:r>
              <w:rPr>
                <w:rFonts w:ascii="宋体" w:hAnsi="宋体" w:eastAsia="宋体" w:cs="宋体"/>
                <w:b w:val="0"/>
                <w:sz w:val="18"/>
              </w:rPr>
              <w:t>消息送达</w:t>
            </w:r>
          </w:p>
        </w:tc>
        <w:tc>
          <w:tcPr>
            <w:tcW w:w="1134" w:type="dxa"/>
          </w:tcPr>
          <w:p w14:paraId="1C8F28F2">
            <w:pPr>
              <w:spacing w:before="20" w:after="20" w:line="240" w:lineRule="auto"/>
              <w:jc w:val="center"/>
            </w:pPr>
            <w:r>
              <w:rPr>
                <w:rFonts w:ascii="宋体" w:hAnsi="宋体" w:eastAsia="宋体" w:cs="宋体"/>
                <w:b w:val="0"/>
                <w:sz w:val="18"/>
              </w:rPr>
              <w:t>98.5%</w:t>
            </w:r>
          </w:p>
        </w:tc>
        <w:tc>
          <w:tcPr>
            <w:tcW w:w="567" w:type="dxa"/>
          </w:tcPr>
          <w:p w14:paraId="390A2055">
            <w:pPr>
              <w:spacing w:before="20" w:after="20" w:line="240" w:lineRule="auto"/>
              <w:jc w:val="center"/>
            </w:pPr>
            <w:r>
              <w:rPr>
                <w:rFonts w:ascii="宋体" w:hAnsi="宋体" w:eastAsia="宋体" w:cs="宋体"/>
                <w:b w:val="0"/>
                <w:sz w:val="18"/>
              </w:rPr>
              <w:t>✓</w:t>
            </w:r>
          </w:p>
        </w:tc>
      </w:tr>
      <w:tr w14:paraId="126057F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shd w:val="clear" w:color="auto" w:fill="F5F5F5"/>
          </w:tcPr>
          <w:p w14:paraId="606E9F33">
            <w:pPr>
              <w:spacing w:before="20" w:after="20" w:line="240" w:lineRule="auto"/>
              <w:jc w:val="left"/>
            </w:pPr>
            <w:r>
              <w:rPr>
                <w:rFonts w:ascii="宋体" w:hAnsi="宋体" w:eastAsia="宋体" w:cs="宋体"/>
                <w:b w:val="0"/>
                <w:sz w:val="18"/>
              </w:rPr>
              <w:t>F14</w:t>
            </w:r>
          </w:p>
        </w:tc>
        <w:tc>
          <w:tcPr>
            <w:tcW w:w="850" w:type="dxa"/>
            <w:shd w:val="clear" w:color="auto" w:fill="F5F5F5"/>
          </w:tcPr>
          <w:p w14:paraId="7F7AE009">
            <w:pPr>
              <w:spacing w:before="20" w:after="20" w:line="240" w:lineRule="auto"/>
              <w:jc w:val="center"/>
            </w:pPr>
            <w:r>
              <w:rPr>
                <w:rFonts w:ascii="宋体" w:hAnsi="宋体" w:eastAsia="宋体" w:cs="宋体"/>
                <w:b w:val="0"/>
                <w:sz w:val="18"/>
              </w:rPr>
              <w:t>工具调用</w:t>
            </w:r>
          </w:p>
        </w:tc>
        <w:tc>
          <w:tcPr>
            <w:tcW w:w="1417" w:type="dxa"/>
            <w:shd w:val="clear" w:color="auto" w:fill="F5F5F5"/>
          </w:tcPr>
          <w:p w14:paraId="3EF5490A">
            <w:pPr>
              <w:spacing w:before="20" w:after="20" w:line="240" w:lineRule="auto"/>
              <w:jc w:val="center"/>
            </w:pPr>
            <w:r>
              <w:rPr>
                <w:rFonts w:ascii="宋体" w:hAnsi="宋体" w:eastAsia="宋体" w:cs="宋体"/>
                <w:b w:val="0"/>
                <w:sz w:val="18"/>
              </w:rPr>
              <w:t>企微推送</w:t>
            </w:r>
          </w:p>
        </w:tc>
        <w:tc>
          <w:tcPr>
            <w:tcW w:w="1701" w:type="dxa"/>
            <w:shd w:val="clear" w:color="auto" w:fill="F5F5F5"/>
          </w:tcPr>
          <w:p w14:paraId="2738950E">
            <w:pPr>
              <w:spacing w:before="20" w:after="20" w:line="240" w:lineRule="auto"/>
              <w:jc w:val="center"/>
            </w:pPr>
            <w:r>
              <w:rPr>
                <w:rFonts w:ascii="宋体" w:hAnsi="宋体" w:eastAsia="宋体" w:cs="宋体"/>
                <w:b w:val="0"/>
                <w:sz w:val="18"/>
              </w:rPr>
              <w:t>消息送达</w:t>
            </w:r>
          </w:p>
        </w:tc>
        <w:tc>
          <w:tcPr>
            <w:tcW w:w="1134" w:type="dxa"/>
            <w:shd w:val="clear" w:color="auto" w:fill="F5F5F5"/>
          </w:tcPr>
          <w:p w14:paraId="64474355">
            <w:pPr>
              <w:spacing w:before="20" w:after="20" w:line="240" w:lineRule="auto"/>
              <w:jc w:val="center"/>
            </w:pPr>
            <w:r>
              <w:rPr>
                <w:rFonts w:ascii="宋体" w:hAnsi="宋体" w:eastAsia="宋体" w:cs="宋体"/>
                <w:b w:val="0"/>
                <w:sz w:val="18"/>
              </w:rPr>
              <w:t>97.8%</w:t>
            </w:r>
          </w:p>
        </w:tc>
        <w:tc>
          <w:tcPr>
            <w:tcW w:w="567" w:type="dxa"/>
            <w:shd w:val="clear" w:color="auto" w:fill="F5F5F5"/>
          </w:tcPr>
          <w:p w14:paraId="586C6CF7">
            <w:pPr>
              <w:spacing w:before="20" w:after="20" w:line="240" w:lineRule="auto"/>
              <w:jc w:val="center"/>
            </w:pPr>
            <w:r>
              <w:rPr>
                <w:rFonts w:ascii="宋体" w:hAnsi="宋体" w:eastAsia="宋体" w:cs="宋体"/>
                <w:b w:val="0"/>
                <w:sz w:val="18"/>
              </w:rPr>
              <w:t>✓</w:t>
            </w:r>
          </w:p>
        </w:tc>
      </w:tr>
      <w:tr w14:paraId="2338720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tcPr>
          <w:p w14:paraId="50A6B02A">
            <w:pPr>
              <w:spacing w:before="20" w:after="20" w:line="240" w:lineRule="auto"/>
              <w:jc w:val="left"/>
            </w:pPr>
            <w:r>
              <w:rPr>
                <w:rFonts w:ascii="宋体" w:hAnsi="宋体" w:eastAsia="宋体" w:cs="宋体"/>
                <w:b w:val="0"/>
                <w:sz w:val="18"/>
              </w:rPr>
              <w:t>F15</w:t>
            </w:r>
          </w:p>
        </w:tc>
        <w:tc>
          <w:tcPr>
            <w:tcW w:w="850" w:type="dxa"/>
          </w:tcPr>
          <w:p w14:paraId="61E6BAF0">
            <w:pPr>
              <w:spacing w:before="20" w:after="20" w:line="240" w:lineRule="auto"/>
              <w:jc w:val="center"/>
            </w:pPr>
            <w:r>
              <w:rPr>
                <w:rFonts w:ascii="宋体" w:hAnsi="宋体" w:eastAsia="宋体" w:cs="宋体"/>
                <w:b w:val="0"/>
                <w:sz w:val="18"/>
              </w:rPr>
              <w:t>工具调用</w:t>
            </w:r>
          </w:p>
        </w:tc>
        <w:tc>
          <w:tcPr>
            <w:tcW w:w="1417" w:type="dxa"/>
          </w:tcPr>
          <w:p w14:paraId="4B377106">
            <w:pPr>
              <w:spacing w:before="20" w:after="20" w:line="240" w:lineRule="auto"/>
              <w:jc w:val="center"/>
            </w:pPr>
            <w:r>
              <w:rPr>
                <w:rFonts w:ascii="宋体" w:hAnsi="宋体" w:eastAsia="宋体" w:cs="宋体"/>
                <w:b w:val="0"/>
                <w:sz w:val="18"/>
              </w:rPr>
              <w:t>报告生成</w:t>
            </w:r>
          </w:p>
        </w:tc>
        <w:tc>
          <w:tcPr>
            <w:tcW w:w="1701" w:type="dxa"/>
          </w:tcPr>
          <w:p w14:paraId="11586367">
            <w:pPr>
              <w:spacing w:before="20" w:after="20" w:line="240" w:lineRule="auto"/>
              <w:jc w:val="center"/>
            </w:pPr>
            <w:r>
              <w:rPr>
                <w:rFonts w:ascii="宋体" w:hAnsi="宋体" w:eastAsia="宋体" w:cs="宋体"/>
                <w:b w:val="0"/>
                <w:sz w:val="18"/>
              </w:rPr>
              <w:t>Markdown输出</w:t>
            </w:r>
          </w:p>
        </w:tc>
        <w:tc>
          <w:tcPr>
            <w:tcW w:w="1134" w:type="dxa"/>
          </w:tcPr>
          <w:p w14:paraId="3EE189EB">
            <w:pPr>
              <w:spacing w:before="20" w:after="20" w:line="240" w:lineRule="auto"/>
              <w:jc w:val="center"/>
            </w:pPr>
            <w:r>
              <w:rPr>
                <w:rFonts w:ascii="宋体" w:hAnsi="宋体" w:eastAsia="宋体" w:cs="宋体"/>
                <w:b w:val="0"/>
                <w:sz w:val="18"/>
              </w:rPr>
              <w:t>正常</w:t>
            </w:r>
          </w:p>
        </w:tc>
        <w:tc>
          <w:tcPr>
            <w:tcW w:w="567" w:type="dxa"/>
          </w:tcPr>
          <w:p w14:paraId="35033290">
            <w:pPr>
              <w:spacing w:before="20" w:after="20" w:line="240" w:lineRule="auto"/>
              <w:jc w:val="center"/>
            </w:pPr>
            <w:r>
              <w:rPr>
                <w:rFonts w:ascii="宋体" w:hAnsi="宋体" w:eastAsia="宋体" w:cs="宋体"/>
                <w:b w:val="0"/>
                <w:sz w:val="18"/>
              </w:rPr>
              <w:t>✓</w:t>
            </w:r>
          </w:p>
        </w:tc>
      </w:tr>
      <w:tr w14:paraId="7543D9B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shd w:val="clear" w:color="auto" w:fill="F5F5F5"/>
          </w:tcPr>
          <w:p w14:paraId="0CEB0E83">
            <w:pPr>
              <w:spacing w:before="20" w:after="20" w:line="240" w:lineRule="auto"/>
              <w:jc w:val="left"/>
            </w:pPr>
            <w:r>
              <w:rPr>
                <w:rFonts w:ascii="宋体" w:hAnsi="宋体" w:eastAsia="宋体" w:cs="宋体"/>
                <w:b w:val="0"/>
                <w:sz w:val="18"/>
              </w:rPr>
              <w:t>F16</w:t>
            </w:r>
          </w:p>
        </w:tc>
        <w:tc>
          <w:tcPr>
            <w:tcW w:w="850" w:type="dxa"/>
            <w:shd w:val="clear" w:color="auto" w:fill="F5F5F5"/>
          </w:tcPr>
          <w:p w14:paraId="6A651904">
            <w:pPr>
              <w:spacing w:before="20" w:after="20" w:line="240" w:lineRule="auto"/>
              <w:jc w:val="center"/>
            </w:pPr>
            <w:r>
              <w:rPr>
                <w:rFonts w:ascii="宋体" w:hAnsi="宋体" w:eastAsia="宋体" w:cs="宋体"/>
                <w:b w:val="0"/>
                <w:sz w:val="18"/>
              </w:rPr>
              <w:t>工具调用</w:t>
            </w:r>
          </w:p>
        </w:tc>
        <w:tc>
          <w:tcPr>
            <w:tcW w:w="1417" w:type="dxa"/>
            <w:shd w:val="clear" w:color="auto" w:fill="F5F5F5"/>
          </w:tcPr>
          <w:p w14:paraId="33B47ACA">
            <w:pPr>
              <w:spacing w:before="20" w:after="20" w:line="240" w:lineRule="auto"/>
              <w:jc w:val="center"/>
            </w:pPr>
            <w:r>
              <w:rPr>
                <w:rFonts w:ascii="宋体" w:hAnsi="宋体" w:eastAsia="宋体" w:cs="宋体"/>
                <w:b w:val="0"/>
                <w:sz w:val="18"/>
              </w:rPr>
              <w:t>工单管理</w:t>
            </w:r>
          </w:p>
        </w:tc>
        <w:tc>
          <w:tcPr>
            <w:tcW w:w="1701" w:type="dxa"/>
            <w:shd w:val="clear" w:color="auto" w:fill="F5F5F5"/>
          </w:tcPr>
          <w:p w14:paraId="11CC25A1">
            <w:pPr>
              <w:spacing w:before="20" w:after="20" w:line="240" w:lineRule="auto"/>
              <w:jc w:val="center"/>
            </w:pPr>
            <w:r>
              <w:rPr>
                <w:rFonts w:ascii="宋体" w:hAnsi="宋体" w:eastAsia="宋体" w:cs="宋体"/>
                <w:b w:val="0"/>
                <w:sz w:val="18"/>
              </w:rPr>
              <w:t>CRUD流转</w:t>
            </w:r>
          </w:p>
        </w:tc>
        <w:tc>
          <w:tcPr>
            <w:tcW w:w="1134" w:type="dxa"/>
            <w:shd w:val="clear" w:color="auto" w:fill="F5F5F5"/>
          </w:tcPr>
          <w:p w14:paraId="5AE28A92">
            <w:pPr>
              <w:spacing w:before="20" w:after="20" w:line="240" w:lineRule="auto"/>
              <w:jc w:val="center"/>
            </w:pPr>
            <w:r>
              <w:rPr>
                <w:rFonts w:ascii="宋体" w:hAnsi="宋体" w:eastAsia="宋体" w:cs="宋体"/>
                <w:b w:val="0"/>
                <w:sz w:val="18"/>
              </w:rPr>
              <w:t>正常</w:t>
            </w:r>
          </w:p>
        </w:tc>
        <w:tc>
          <w:tcPr>
            <w:tcW w:w="567" w:type="dxa"/>
            <w:shd w:val="clear" w:color="auto" w:fill="F5F5F5"/>
          </w:tcPr>
          <w:p w14:paraId="2C4673C0">
            <w:pPr>
              <w:spacing w:before="20" w:after="20" w:line="240" w:lineRule="auto"/>
              <w:jc w:val="center"/>
            </w:pPr>
            <w:r>
              <w:rPr>
                <w:rFonts w:ascii="宋体" w:hAnsi="宋体" w:eastAsia="宋体" w:cs="宋体"/>
                <w:b w:val="0"/>
                <w:sz w:val="18"/>
              </w:rPr>
              <w:t>✓</w:t>
            </w:r>
          </w:p>
        </w:tc>
      </w:tr>
      <w:tr w14:paraId="1525FA5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tcPr>
          <w:p w14:paraId="72B011C3">
            <w:pPr>
              <w:spacing w:before="20" w:after="20" w:line="240" w:lineRule="auto"/>
              <w:jc w:val="left"/>
            </w:pPr>
            <w:r>
              <w:rPr>
                <w:rFonts w:ascii="宋体" w:hAnsi="宋体" w:eastAsia="宋体" w:cs="宋体"/>
                <w:b w:val="0"/>
                <w:sz w:val="18"/>
              </w:rPr>
              <w:t>F17</w:t>
            </w:r>
          </w:p>
        </w:tc>
        <w:tc>
          <w:tcPr>
            <w:tcW w:w="850" w:type="dxa"/>
          </w:tcPr>
          <w:p w14:paraId="528EEA48">
            <w:pPr>
              <w:spacing w:before="20" w:after="20" w:line="240" w:lineRule="auto"/>
              <w:jc w:val="center"/>
            </w:pPr>
            <w:r>
              <w:rPr>
                <w:rFonts w:ascii="宋体" w:hAnsi="宋体" w:eastAsia="宋体" w:cs="宋体"/>
                <w:b w:val="0"/>
                <w:sz w:val="18"/>
              </w:rPr>
              <w:t>记忆模块</w:t>
            </w:r>
          </w:p>
        </w:tc>
        <w:tc>
          <w:tcPr>
            <w:tcW w:w="1417" w:type="dxa"/>
          </w:tcPr>
          <w:p w14:paraId="7D17D792">
            <w:pPr>
              <w:spacing w:before="20" w:after="20" w:line="240" w:lineRule="auto"/>
              <w:jc w:val="center"/>
            </w:pPr>
            <w:r>
              <w:rPr>
                <w:rFonts w:ascii="宋体" w:hAnsi="宋体" w:eastAsia="宋体" w:cs="宋体"/>
                <w:b w:val="0"/>
                <w:sz w:val="18"/>
              </w:rPr>
              <w:t>历史检索</w:t>
            </w:r>
          </w:p>
        </w:tc>
        <w:tc>
          <w:tcPr>
            <w:tcW w:w="1701" w:type="dxa"/>
          </w:tcPr>
          <w:p w14:paraId="24259B93">
            <w:pPr>
              <w:spacing w:before="20" w:after="20" w:line="240" w:lineRule="auto"/>
              <w:jc w:val="center"/>
            </w:pPr>
            <w:r>
              <w:rPr>
                <w:rFonts w:ascii="宋体" w:hAnsi="宋体" w:eastAsia="宋体" w:cs="宋体"/>
                <w:b w:val="0"/>
                <w:sz w:val="18"/>
              </w:rPr>
              <w:t>60min窗口</w:t>
            </w:r>
          </w:p>
        </w:tc>
        <w:tc>
          <w:tcPr>
            <w:tcW w:w="1134" w:type="dxa"/>
          </w:tcPr>
          <w:p w14:paraId="67C6A788">
            <w:pPr>
              <w:spacing w:before="20" w:after="20" w:line="240" w:lineRule="auto"/>
              <w:jc w:val="center"/>
            </w:pPr>
            <w:r>
              <w:rPr>
                <w:rFonts w:ascii="宋体" w:hAnsi="宋体" w:eastAsia="宋体" w:cs="宋体"/>
                <w:b w:val="0"/>
                <w:sz w:val="18"/>
              </w:rPr>
              <w:t>正常</w:t>
            </w:r>
          </w:p>
        </w:tc>
        <w:tc>
          <w:tcPr>
            <w:tcW w:w="567" w:type="dxa"/>
          </w:tcPr>
          <w:p w14:paraId="08C9F1C0">
            <w:pPr>
              <w:spacing w:before="20" w:after="20" w:line="240" w:lineRule="auto"/>
              <w:jc w:val="center"/>
            </w:pPr>
            <w:r>
              <w:rPr>
                <w:rFonts w:ascii="宋体" w:hAnsi="宋体" w:eastAsia="宋体" w:cs="宋体"/>
                <w:b w:val="0"/>
                <w:sz w:val="18"/>
              </w:rPr>
              <w:t>✓</w:t>
            </w:r>
          </w:p>
        </w:tc>
      </w:tr>
      <w:tr w14:paraId="6AC9C5E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shd w:val="clear" w:color="auto" w:fill="F5F5F5"/>
          </w:tcPr>
          <w:p w14:paraId="0411ABD2">
            <w:pPr>
              <w:spacing w:before="20" w:after="20" w:line="240" w:lineRule="auto"/>
              <w:jc w:val="left"/>
            </w:pPr>
            <w:r>
              <w:rPr>
                <w:rFonts w:ascii="宋体" w:hAnsi="宋体" w:eastAsia="宋体" w:cs="宋体"/>
                <w:b w:val="0"/>
                <w:sz w:val="18"/>
              </w:rPr>
              <w:t>F18</w:t>
            </w:r>
          </w:p>
        </w:tc>
        <w:tc>
          <w:tcPr>
            <w:tcW w:w="850" w:type="dxa"/>
            <w:shd w:val="clear" w:color="auto" w:fill="F5F5F5"/>
          </w:tcPr>
          <w:p w14:paraId="38F767DE">
            <w:pPr>
              <w:spacing w:before="20" w:after="20" w:line="240" w:lineRule="auto"/>
              <w:jc w:val="center"/>
            </w:pPr>
            <w:r>
              <w:rPr>
                <w:rFonts w:ascii="宋体" w:hAnsi="宋体" w:eastAsia="宋体" w:cs="宋体"/>
                <w:b w:val="0"/>
                <w:sz w:val="18"/>
              </w:rPr>
              <w:t>记忆模块</w:t>
            </w:r>
          </w:p>
        </w:tc>
        <w:tc>
          <w:tcPr>
            <w:tcW w:w="1417" w:type="dxa"/>
            <w:shd w:val="clear" w:color="auto" w:fill="F5F5F5"/>
          </w:tcPr>
          <w:p w14:paraId="5841EF38">
            <w:pPr>
              <w:spacing w:before="20" w:after="20" w:line="240" w:lineRule="auto"/>
              <w:jc w:val="center"/>
            </w:pPr>
            <w:r>
              <w:rPr>
                <w:rFonts w:ascii="宋体" w:hAnsi="宋体" w:eastAsia="宋体" w:cs="宋体"/>
                <w:b w:val="0"/>
                <w:sz w:val="18"/>
              </w:rPr>
              <w:t>B→A升级</w:t>
            </w:r>
          </w:p>
        </w:tc>
        <w:tc>
          <w:tcPr>
            <w:tcW w:w="1701" w:type="dxa"/>
            <w:shd w:val="clear" w:color="auto" w:fill="F5F5F5"/>
          </w:tcPr>
          <w:p w14:paraId="237EE2B0">
            <w:pPr>
              <w:spacing w:before="20" w:after="20" w:line="240" w:lineRule="auto"/>
              <w:jc w:val="center"/>
            </w:pPr>
            <w:r>
              <w:rPr>
                <w:rFonts w:ascii="宋体" w:hAnsi="宋体" w:eastAsia="宋体" w:cs="宋体"/>
                <w:b w:val="0"/>
                <w:sz w:val="18"/>
              </w:rPr>
              <w:t>≥2次触发</w:t>
            </w:r>
          </w:p>
        </w:tc>
        <w:tc>
          <w:tcPr>
            <w:tcW w:w="1134" w:type="dxa"/>
            <w:shd w:val="clear" w:color="auto" w:fill="F5F5F5"/>
          </w:tcPr>
          <w:p w14:paraId="1CE442D8">
            <w:pPr>
              <w:spacing w:before="20" w:after="20" w:line="240" w:lineRule="auto"/>
              <w:jc w:val="center"/>
            </w:pPr>
            <w:r>
              <w:rPr>
                <w:rFonts w:ascii="宋体" w:hAnsi="宋体" w:eastAsia="宋体" w:cs="宋体"/>
                <w:b w:val="0"/>
                <w:sz w:val="18"/>
              </w:rPr>
              <w:t>正常</w:t>
            </w:r>
          </w:p>
        </w:tc>
        <w:tc>
          <w:tcPr>
            <w:tcW w:w="567" w:type="dxa"/>
            <w:shd w:val="clear" w:color="auto" w:fill="F5F5F5"/>
          </w:tcPr>
          <w:p w14:paraId="72DD833B">
            <w:pPr>
              <w:spacing w:before="20" w:after="20" w:line="240" w:lineRule="auto"/>
              <w:jc w:val="center"/>
            </w:pPr>
            <w:r>
              <w:rPr>
                <w:rFonts w:ascii="宋体" w:hAnsi="宋体" w:eastAsia="宋体" w:cs="宋体"/>
                <w:b w:val="0"/>
                <w:sz w:val="18"/>
              </w:rPr>
              <w:t>✓</w:t>
            </w:r>
          </w:p>
        </w:tc>
      </w:tr>
      <w:tr w14:paraId="65FE638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tcPr>
          <w:p w14:paraId="472D0EDD">
            <w:pPr>
              <w:spacing w:before="20" w:after="20" w:line="240" w:lineRule="auto"/>
              <w:jc w:val="left"/>
            </w:pPr>
            <w:r>
              <w:rPr>
                <w:rFonts w:ascii="宋体" w:hAnsi="宋体" w:eastAsia="宋体" w:cs="宋体"/>
                <w:b w:val="0"/>
                <w:sz w:val="18"/>
              </w:rPr>
              <w:t>F19</w:t>
            </w:r>
          </w:p>
        </w:tc>
        <w:tc>
          <w:tcPr>
            <w:tcW w:w="850" w:type="dxa"/>
          </w:tcPr>
          <w:p w14:paraId="33BD5CAF">
            <w:pPr>
              <w:spacing w:before="20" w:after="20" w:line="240" w:lineRule="auto"/>
              <w:jc w:val="center"/>
            </w:pPr>
            <w:r>
              <w:rPr>
                <w:rFonts w:ascii="宋体" w:hAnsi="宋体" w:eastAsia="宋体" w:cs="宋体"/>
                <w:b w:val="0"/>
                <w:sz w:val="18"/>
              </w:rPr>
              <w:t>3D孪生</w:t>
            </w:r>
          </w:p>
        </w:tc>
        <w:tc>
          <w:tcPr>
            <w:tcW w:w="1417" w:type="dxa"/>
          </w:tcPr>
          <w:p w14:paraId="3B507ADD">
            <w:pPr>
              <w:spacing w:before="20" w:after="20" w:line="240" w:lineRule="auto"/>
              <w:jc w:val="center"/>
            </w:pPr>
            <w:r>
              <w:rPr>
                <w:rFonts w:ascii="宋体" w:hAnsi="宋体" w:eastAsia="宋体" w:cs="宋体"/>
                <w:b w:val="0"/>
                <w:sz w:val="18"/>
              </w:rPr>
              <w:t>工人定位</w:t>
            </w:r>
          </w:p>
        </w:tc>
        <w:tc>
          <w:tcPr>
            <w:tcW w:w="1701" w:type="dxa"/>
          </w:tcPr>
          <w:p w14:paraId="055E5B77">
            <w:pPr>
              <w:spacing w:before="20" w:after="20" w:line="240" w:lineRule="auto"/>
              <w:jc w:val="center"/>
            </w:pPr>
            <w:r>
              <w:rPr>
                <w:rFonts w:ascii="宋体" w:hAnsi="宋体" w:eastAsia="宋体" w:cs="宋体"/>
                <w:b w:val="0"/>
                <w:sz w:val="18"/>
              </w:rPr>
              <w:t>偏差≤±0.5m</w:t>
            </w:r>
          </w:p>
        </w:tc>
        <w:tc>
          <w:tcPr>
            <w:tcW w:w="1134" w:type="dxa"/>
          </w:tcPr>
          <w:p w14:paraId="2EB75DD6">
            <w:pPr>
              <w:spacing w:before="20" w:after="20" w:line="240" w:lineRule="auto"/>
              <w:jc w:val="center"/>
            </w:pPr>
            <w:r>
              <w:rPr>
                <w:rFonts w:ascii="宋体" w:hAnsi="宋体" w:eastAsia="宋体" w:cs="宋体"/>
                <w:b w:val="0"/>
                <w:sz w:val="18"/>
              </w:rPr>
              <w:t>±0.38m</w:t>
            </w:r>
          </w:p>
        </w:tc>
        <w:tc>
          <w:tcPr>
            <w:tcW w:w="567" w:type="dxa"/>
          </w:tcPr>
          <w:p w14:paraId="7DC29AF5">
            <w:pPr>
              <w:spacing w:before="20" w:after="20" w:line="240" w:lineRule="auto"/>
              <w:jc w:val="center"/>
            </w:pPr>
            <w:r>
              <w:rPr>
                <w:rFonts w:ascii="宋体" w:hAnsi="宋体" w:eastAsia="宋体" w:cs="宋体"/>
                <w:b w:val="0"/>
                <w:sz w:val="18"/>
              </w:rPr>
              <w:t>✓</w:t>
            </w:r>
          </w:p>
        </w:tc>
      </w:tr>
      <w:tr w14:paraId="22E7E5F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shd w:val="clear" w:color="auto" w:fill="F5F5F5"/>
          </w:tcPr>
          <w:p w14:paraId="43A0FB37">
            <w:pPr>
              <w:spacing w:before="20" w:after="20" w:line="240" w:lineRule="auto"/>
              <w:jc w:val="left"/>
            </w:pPr>
            <w:r>
              <w:rPr>
                <w:rFonts w:ascii="宋体" w:hAnsi="宋体" w:eastAsia="宋体" w:cs="宋体"/>
                <w:b w:val="0"/>
                <w:sz w:val="18"/>
              </w:rPr>
              <w:t>F20</w:t>
            </w:r>
          </w:p>
        </w:tc>
        <w:tc>
          <w:tcPr>
            <w:tcW w:w="850" w:type="dxa"/>
            <w:shd w:val="clear" w:color="auto" w:fill="F5F5F5"/>
          </w:tcPr>
          <w:p w14:paraId="469FFD3E">
            <w:pPr>
              <w:spacing w:before="20" w:after="20" w:line="240" w:lineRule="auto"/>
              <w:jc w:val="center"/>
            </w:pPr>
            <w:r>
              <w:rPr>
                <w:rFonts w:ascii="宋体" w:hAnsi="宋体" w:eastAsia="宋体" w:cs="宋体"/>
                <w:b w:val="0"/>
                <w:sz w:val="18"/>
              </w:rPr>
              <w:t>3D孪生</w:t>
            </w:r>
          </w:p>
        </w:tc>
        <w:tc>
          <w:tcPr>
            <w:tcW w:w="1417" w:type="dxa"/>
            <w:shd w:val="clear" w:color="auto" w:fill="F5F5F5"/>
          </w:tcPr>
          <w:p w14:paraId="52D11BD6">
            <w:pPr>
              <w:spacing w:before="20" w:after="20" w:line="240" w:lineRule="auto"/>
              <w:jc w:val="center"/>
            </w:pPr>
            <w:r>
              <w:rPr>
                <w:rFonts w:ascii="宋体" w:hAnsi="宋体" w:eastAsia="宋体" w:cs="宋体"/>
                <w:b w:val="0"/>
                <w:sz w:val="18"/>
              </w:rPr>
              <w:t>镜头聚焦</w:t>
            </w:r>
          </w:p>
        </w:tc>
        <w:tc>
          <w:tcPr>
            <w:tcW w:w="1701" w:type="dxa"/>
            <w:shd w:val="clear" w:color="auto" w:fill="F5F5F5"/>
          </w:tcPr>
          <w:p w14:paraId="58914AF9">
            <w:pPr>
              <w:spacing w:before="20" w:after="20" w:line="240" w:lineRule="auto"/>
              <w:jc w:val="center"/>
            </w:pPr>
            <w:r>
              <w:rPr>
                <w:rFonts w:ascii="宋体" w:hAnsi="宋体" w:eastAsia="宋体" w:cs="宋体"/>
                <w:b w:val="0"/>
                <w:sz w:val="18"/>
              </w:rPr>
              <w:t>A级触发</w:t>
            </w:r>
          </w:p>
        </w:tc>
        <w:tc>
          <w:tcPr>
            <w:tcW w:w="1134" w:type="dxa"/>
            <w:shd w:val="clear" w:color="auto" w:fill="F5F5F5"/>
          </w:tcPr>
          <w:p w14:paraId="42831EA6">
            <w:pPr>
              <w:spacing w:before="20" w:after="20" w:line="240" w:lineRule="auto"/>
              <w:jc w:val="center"/>
            </w:pPr>
            <w:r>
              <w:rPr>
                <w:rFonts w:ascii="宋体" w:hAnsi="宋体" w:eastAsia="宋体" w:cs="宋体"/>
                <w:b w:val="0"/>
                <w:sz w:val="18"/>
              </w:rPr>
              <w:t>正常</w:t>
            </w:r>
          </w:p>
        </w:tc>
        <w:tc>
          <w:tcPr>
            <w:tcW w:w="567" w:type="dxa"/>
            <w:shd w:val="clear" w:color="auto" w:fill="F5F5F5"/>
          </w:tcPr>
          <w:p w14:paraId="2A4493D4">
            <w:pPr>
              <w:spacing w:before="20" w:after="20" w:line="240" w:lineRule="auto"/>
              <w:jc w:val="center"/>
            </w:pPr>
            <w:r>
              <w:rPr>
                <w:rFonts w:ascii="宋体" w:hAnsi="宋体" w:eastAsia="宋体" w:cs="宋体"/>
                <w:b w:val="0"/>
                <w:sz w:val="18"/>
              </w:rPr>
              <w:t>✓</w:t>
            </w:r>
          </w:p>
        </w:tc>
      </w:tr>
      <w:tr w14:paraId="60B2B799">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tcPr>
          <w:p w14:paraId="2F14AFA4">
            <w:pPr>
              <w:spacing w:before="20" w:after="20" w:line="240" w:lineRule="auto"/>
              <w:jc w:val="left"/>
            </w:pPr>
            <w:r>
              <w:rPr>
                <w:rFonts w:ascii="宋体" w:hAnsi="宋体" w:eastAsia="宋体" w:cs="宋体"/>
                <w:b w:val="0"/>
                <w:sz w:val="18"/>
              </w:rPr>
              <w:t>F21</w:t>
            </w:r>
          </w:p>
        </w:tc>
        <w:tc>
          <w:tcPr>
            <w:tcW w:w="850" w:type="dxa"/>
          </w:tcPr>
          <w:p w14:paraId="0F612BBB">
            <w:pPr>
              <w:spacing w:before="20" w:after="20" w:line="240" w:lineRule="auto"/>
              <w:jc w:val="center"/>
            </w:pPr>
            <w:r>
              <w:rPr>
                <w:rFonts w:ascii="宋体" w:hAnsi="宋体" w:eastAsia="宋体" w:cs="宋体"/>
                <w:b w:val="0"/>
                <w:sz w:val="18"/>
              </w:rPr>
              <w:t>3D孪生</w:t>
            </w:r>
          </w:p>
        </w:tc>
        <w:tc>
          <w:tcPr>
            <w:tcW w:w="1417" w:type="dxa"/>
          </w:tcPr>
          <w:p w14:paraId="230154D3">
            <w:pPr>
              <w:spacing w:before="20" w:after="20" w:line="240" w:lineRule="auto"/>
              <w:jc w:val="center"/>
            </w:pPr>
            <w:r>
              <w:rPr>
                <w:rFonts w:ascii="宋体" w:hAnsi="宋体" w:eastAsia="宋体" w:cs="宋体"/>
                <w:b w:val="0"/>
                <w:sz w:val="18"/>
              </w:rPr>
              <w:t>标签光环</w:t>
            </w:r>
          </w:p>
        </w:tc>
        <w:tc>
          <w:tcPr>
            <w:tcW w:w="1701" w:type="dxa"/>
          </w:tcPr>
          <w:p w14:paraId="4702CA2C">
            <w:pPr>
              <w:spacing w:before="20" w:after="20" w:line="240" w:lineRule="auto"/>
              <w:jc w:val="center"/>
            </w:pPr>
            <w:r>
              <w:rPr>
                <w:rFonts w:ascii="宋体" w:hAnsi="宋体" w:eastAsia="宋体" w:cs="宋体"/>
                <w:b w:val="0"/>
                <w:sz w:val="18"/>
              </w:rPr>
              <w:t>颜色分级</w:t>
            </w:r>
          </w:p>
        </w:tc>
        <w:tc>
          <w:tcPr>
            <w:tcW w:w="1134" w:type="dxa"/>
          </w:tcPr>
          <w:p w14:paraId="090F154B">
            <w:pPr>
              <w:spacing w:before="20" w:after="20" w:line="240" w:lineRule="auto"/>
              <w:jc w:val="center"/>
            </w:pPr>
            <w:r>
              <w:rPr>
                <w:rFonts w:ascii="宋体" w:hAnsi="宋体" w:eastAsia="宋体" w:cs="宋体"/>
                <w:b w:val="0"/>
                <w:sz w:val="18"/>
              </w:rPr>
              <w:t>正常</w:t>
            </w:r>
          </w:p>
        </w:tc>
        <w:tc>
          <w:tcPr>
            <w:tcW w:w="567" w:type="dxa"/>
          </w:tcPr>
          <w:p w14:paraId="2CA1E29E">
            <w:pPr>
              <w:spacing w:before="20" w:after="20" w:line="240" w:lineRule="auto"/>
              <w:jc w:val="center"/>
            </w:pPr>
            <w:r>
              <w:rPr>
                <w:rFonts w:ascii="宋体" w:hAnsi="宋体" w:eastAsia="宋体" w:cs="宋体"/>
                <w:b w:val="0"/>
                <w:sz w:val="18"/>
              </w:rPr>
              <w:t>✓</w:t>
            </w:r>
          </w:p>
        </w:tc>
      </w:tr>
      <w:tr w14:paraId="4C07428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shd w:val="clear" w:color="auto" w:fill="F5F5F5"/>
          </w:tcPr>
          <w:p w14:paraId="0BAC4F5A">
            <w:pPr>
              <w:spacing w:before="20" w:after="20" w:line="240" w:lineRule="auto"/>
              <w:jc w:val="left"/>
            </w:pPr>
            <w:r>
              <w:rPr>
                <w:rFonts w:ascii="宋体" w:hAnsi="宋体" w:eastAsia="宋体" w:cs="宋体"/>
                <w:b w:val="0"/>
                <w:sz w:val="18"/>
              </w:rPr>
              <w:t>F22</w:t>
            </w:r>
          </w:p>
        </w:tc>
        <w:tc>
          <w:tcPr>
            <w:tcW w:w="850" w:type="dxa"/>
            <w:shd w:val="clear" w:color="auto" w:fill="F5F5F5"/>
          </w:tcPr>
          <w:p w14:paraId="4988AD73">
            <w:pPr>
              <w:spacing w:before="20" w:after="20" w:line="240" w:lineRule="auto"/>
              <w:jc w:val="center"/>
            </w:pPr>
            <w:r>
              <w:rPr>
                <w:rFonts w:ascii="宋体" w:hAnsi="宋体" w:eastAsia="宋体" w:cs="宋体"/>
                <w:b w:val="0"/>
                <w:sz w:val="18"/>
              </w:rPr>
              <w:t>3D孪生</w:t>
            </w:r>
          </w:p>
        </w:tc>
        <w:tc>
          <w:tcPr>
            <w:tcW w:w="1417" w:type="dxa"/>
            <w:shd w:val="clear" w:color="auto" w:fill="F5F5F5"/>
          </w:tcPr>
          <w:p w14:paraId="154B5335">
            <w:pPr>
              <w:spacing w:before="20" w:after="20" w:line="240" w:lineRule="auto"/>
              <w:jc w:val="center"/>
            </w:pPr>
            <w:r>
              <w:rPr>
                <w:rFonts w:ascii="宋体" w:hAnsi="宋体" w:eastAsia="宋体" w:cs="宋体"/>
                <w:b w:val="0"/>
                <w:sz w:val="18"/>
              </w:rPr>
              <w:t>语音播报</w:t>
            </w:r>
          </w:p>
        </w:tc>
        <w:tc>
          <w:tcPr>
            <w:tcW w:w="1701" w:type="dxa"/>
            <w:shd w:val="clear" w:color="auto" w:fill="F5F5F5"/>
          </w:tcPr>
          <w:p w14:paraId="3C9049BC">
            <w:pPr>
              <w:spacing w:before="20" w:after="20" w:line="240" w:lineRule="auto"/>
              <w:jc w:val="center"/>
            </w:pPr>
            <w:r>
              <w:rPr>
                <w:rFonts w:ascii="宋体" w:hAnsi="宋体" w:eastAsia="宋体" w:cs="宋体"/>
                <w:b w:val="0"/>
                <w:sz w:val="18"/>
              </w:rPr>
              <w:t>A级触发</w:t>
            </w:r>
          </w:p>
        </w:tc>
        <w:tc>
          <w:tcPr>
            <w:tcW w:w="1134" w:type="dxa"/>
            <w:shd w:val="clear" w:color="auto" w:fill="F5F5F5"/>
          </w:tcPr>
          <w:p w14:paraId="008EB678">
            <w:pPr>
              <w:spacing w:before="20" w:after="20" w:line="240" w:lineRule="auto"/>
              <w:jc w:val="center"/>
            </w:pPr>
            <w:r>
              <w:rPr>
                <w:rFonts w:ascii="宋体" w:hAnsi="宋体" w:eastAsia="宋体" w:cs="宋体"/>
                <w:b w:val="0"/>
                <w:sz w:val="18"/>
              </w:rPr>
              <w:t>正常</w:t>
            </w:r>
          </w:p>
        </w:tc>
        <w:tc>
          <w:tcPr>
            <w:tcW w:w="567" w:type="dxa"/>
            <w:shd w:val="clear" w:color="auto" w:fill="F5F5F5"/>
          </w:tcPr>
          <w:p w14:paraId="29002AB8">
            <w:pPr>
              <w:spacing w:before="20" w:after="20" w:line="240" w:lineRule="auto"/>
              <w:jc w:val="center"/>
            </w:pPr>
            <w:r>
              <w:rPr>
                <w:rFonts w:ascii="宋体" w:hAnsi="宋体" w:eastAsia="宋体" w:cs="宋体"/>
                <w:b w:val="0"/>
                <w:sz w:val="18"/>
              </w:rPr>
              <w:t>✓</w:t>
            </w:r>
          </w:p>
        </w:tc>
      </w:tr>
      <w:tr w14:paraId="3EA2C5F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tcPr>
          <w:p w14:paraId="5CFDFEA8">
            <w:pPr>
              <w:spacing w:before="20" w:after="20" w:line="240" w:lineRule="auto"/>
              <w:jc w:val="left"/>
            </w:pPr>
            <w:r>
              <w:rPr>
                <w:rFonts w:ascii="宋体" w:hAnsi="宋体" w:eastAsia="宋体" w:cs="宋体"/>
                <w:b w:val="0"/>
                <w:sz w:val="18"/>
              </w:rPr>
              <w:t>F23</w:t>
            </w:r>
          </w:p>
        </w:tc>
        <w:tc>
          <w:tcPr>
            <w:tcW w:w="850" w:type="dxa"/>
          </w:tcPr>
          <w:p w14:paraId="494A58E3">
            <w:pPr>
              <w:spacing w:before="20" w:after="20" w:line="240" w:lineRule="auto"/>
              <w:jc w:val="center"/>
            </w:pPr>
            <w:r>
              <w:rPr>
                <w:rFonts w:ascii="宋体" w:hAnsi="宋体" w:eastAsia="宋体" w:cs="宋体"/>
                <w:b w:val="0"/>
                <w:sz w:val="18"/>
              </w:rPr>
              <w:t>跨端推送</w:t>
            </w:r>
          </w:p>
        </w:tc>
        <w:tc>
          <w:tcPr>
            <w:tcW w:w="1417" w:type="dxa"/>
          </w:tcPr>
          <w:p w14:paraId="74FEAD83">
            <w:pPr>
              <w:spacing w:before="20" w:after="20" w:line="240" w:lineRule="auto"/>
              <w:jc w:val="center"/>
            </w:pPr>
            <w:r>
              <w:rPr>
                <w:rFonts w:ascii="宋体" w:hAnsi="宋体" w:eastAsia="宋体" w:cs="宋体"/>
                <w:b w:val="0"/>
                <w:sz w:val="18"/>
              </w:rPr>
              <w:t>钉钉图文</w:t>
            </w:r>
          </w:p>
        </w:tc>
        <w:tc>
          <w:tcPr>
            <w:tcW w:w="1701" w:type="dxa"/>
          </w:tcPr>
          <w:p w14:paraId="58BC3089">
            <w:pPr>
              <w:spacing w:before="20" w:after="20" w:line="240" w:lineRule="auto"/>
              <w:jc w:val="center"/>
            </w:pPr>
            <w:r>
              <w:rPr>
                <w:rFonts w:ascii="宋体" w:hAnsi="宋体" w:eastAsia="宋体" w:cs="宋体"/>
                <w:b w:val="0"/>
                <w:sz w:val="18"/>
              </w:rPr>
              <w:t>link+缩略图</w:t>
            </w:r>
          </w:p>
        </w:tc>
        <w:tc>
          <w:tcPr>
            <w:tcW w:w="1134" w:type="dxa"/>
          </w:tcPr>
          <w:p w14:paraId="4BABE5E9">
            <w:pPr>
              <w:spacing w:before="20" w:after="20" w:line="240" w:lineRule="auto"/>
              <w:jc w:val="center"/>
            </w:pPr>
            <w:r>
              <w:rPr>
                <w:rFonts w:ascii="宋体" w:hAnsi="宋体" w:eastAsia="宋体" w:cs="宋体"/>
                <w:b w:val="0"/>
                <w:sz w:val="18"/>
              </w:rPr>
              <w:t>正常</w:t>
            </w:r>
          </w:p>
        </w:tc>
        <w:tc>
          <w:tcPr>
            <w:tcW w:w="567" w:type="dxa"/>
          </w:tcPr>
          <w:p w14:paraId="36631CC9">
            <w:pPr>
              <w:spacing w:before="20" w:after="20" w:line="240" w:lineRule="auto"/>
              <w:jc w:val="center"/>
            </w:pPr>
            <w:r>
              <w:rPr>
                <w:rFonts w:ascii="宋体" w:hAnsi="宋体" w:eastAsia="宋体" w:cs="宋体"/>
                <w:b w:val="0"/>
                <w:sz w:val="18"/>
              </w:rPr>
              <w:t>✓</w:t>
            </w:r>
          </w:p>
        </w:tc>
      </w:tr>
      <w:tr w14:paraId="3E4E7D1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shd w:val="clear" w:color="auto" w:fill="F5F5F5"/>
          </w:tcPr>
          <w:p w14:paraId="6BBA2D1A">
            <w:pPr>
              <w:spacing w:before="20" w:after="20" w:line="240" w:lineRule="auto"/>
              <w:jc w:val="left"/>
            </w:pPr>
            <w:r>
              <w:rPr>
                <w:rFonts w:ascii="宋体" w:hAnsi="宋体" w:eastAsia="宋体" w:cs="宋体"/>
                <w:b w:val="0"/>
                <w:sz w:val="18"/>
              </w:rPr>
              <w:t>F24</w:t>
            </w:r>
          </w:p>
        </w:tc>
        <w:tc>
          <w:tcPr>
            <w:tcW w:w="850" w:type="dxa"/>
            <w:shd w:val="clear" w:color="auto" w:fill="F5F5F5"/>
          </w:tcPr>
          <w:p w14:paraId="0AA523FF">
            <w:pPr>
              <w:spacing w:before="20" w:after="20" w:line="240" w:lineRule="auto"/>
              <w:jc w:val="center"/>
            </w:pPr>
            <w:r>
              <w:rPr>
                <w:rFonts w:ascii="宋体" w:hAnsi="宋体" w:eastAsia="宋体" w:cs="宋体"/>
                <w:b w:val="0"/>
                <w:sz w:val="18"/>
              </w:rPr>
              <w:t>跨端推送</w:t>
            </w:r>
          </w:p>
        </w:tc>
        <w:tc>
          <w:tcPr>
            <w:tcW w:w="1417" w:type="dxa"/>
            <w:shd w:val="clear" w:color="auto" w:fill="F5F5F5"/>
          </w:tcPr>
          <w:p w14:paraId="45F90B5B">
            <w:pPr>
              <w:spacing w:before="20" w:after="20" w:line="240" w:lineRule="auto"/>
              <w:jc w:val="center"/>
            </w:pPr>
            <w:r>
              <w:rPr>
                <w:rFonts w:ascii="宋体" w:hAnsi="宋体" w:eastAsia="宋体" w:cs="宋体"/>
                <w:b w:val="0"/>
                <w:sz w:val="18"/>
              </w:rPr>
              <w:t>无公网降级</w:t>
            </w:r>
          </w:p>
        </w:tc>
        <w:tc>
          <w:tcPr>
            <w:tcW w:w="1701" w:type="dxa"/>
            <w:shd w:val="clear" w:color="auto" w:fill="F5F5F5"/>
          </w:tcPr>
          <w:p w14:paraId="2429A1E3">
            <w:pPr>
              <w:spacing w:before="20" w:after="20" w:line="240" w:lineRule="auto"/>
              <w:jc w:val="center"/>
            </w:pPr>
            <w:r>
              <w:rPr>
                <w:rFonts w:ascii="宋体" w:hAnsi="宋体" w:eastAsia="宋体" w:cs="宋体"/>
                <w:b w:val="0"/>
                <w:sz w:val="18"/>
              </w:rPr>
              <w:t>降级markdown</w:t>
            </w:r>
          </w:p>
        </w:tc>
        <w:tc>
          <w:tcPr>
            <w:tcW w:w="1134" w:type="dxa"/>
            <w:shd w:val="clear" w:color="auto" w:fill="F5F5F5"/>
          </w:tcPr>
          <w:p w14:paraId="546BDD15">
            <w:pPr>
              <w:spacing w:before="20" w:after="20" w:line="240" w:lineRule="auto"/>
              <w:jc w:val="center"/>
            </w:pPr>
            <w:r>
              <w:rPr>
                <w:rFonts w:ascii="宋体" w:hAnsi="宋体" w:eastAsia="宋体" w:cs="宋体"/>
                <w:b w:val="0"/>
                <w:sz w:val="18"/>
              </w:rPr>
              <w:t>正常</w:t>
            </w:r>
          </w:p>
        </w:tc>
        <w:tc>
          <w:tcPr>
            <w:tcW w:w="567" w:type="dxa"/>
            <w:shd w:val="clear" w:color="auto" w:fill="F5F5F5"/>
          </w:tcPr>
          <w:p w14:paraId="2644CFE9">
            <w:pPr>
              <w:spacing w:before="20" w:after="20" w:line="240" w:lineRule="auto"/>
              <w:jc w:val="center"/>
            </w:pPr>
            <w:r>
              <w:rPr>
                <w:rFonts w:ascii="宋体" w:hAnsi="宋体" w:eastAsia="宋体" w:cs="宋体"/>
                <w:b w:val="0"/>
                <w:sz w:val="18"/>
              </w:rPr>
              <w:t>✓</w:t>
            </w:r>
          </w:p>
        </w:tc>
      </w:tr>
      <w:tr w14:paraId="4F88DF3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567" w:type="dxa"/>
          </w:tcPr>
          <w:p w14:paraId="349CBF87">
            <w:pPr>
              <w:spacing w:before="20" w:after="20" w:line="240" w:lineRule="auto"/>
              <w:jc w:val="left"/>
            </w:pPr>
            <w:r>
              <w:rPr>
                <w:rFonts w:ascii="宋体" w:hAnsi="宋体" w:eastAsia="宋体" w:cs="宋体"/>
                <w:b w:val="0"/>
                <w:sz w:val="18"/>
              </w:rPr>
              <w:t>F25</w:t>
            </w:r>
          </w:p>
        </w:tc>
        <w:tc>
          <w:tcPr>
            <w:tcW w:w="850" w:type="dxa"/>
          </w:tcPr>
          <w:p w14:paraId="14CBCDB1">
            <w:pPr>
              <w:spacing w:before="20" w:after="20" w:line="240" w:lineRule="auto"/>
              <w:jc w:val="center"/>
            </w:pPr>
            <w:r>
              <w:rPr>
                <w:rFonts w:ascii="宋体" w:hAnsi="宋体" w:eastAsia="宋体" w:cs="宋体"/>
                <w:b w:val="0"/>
                <w:sz w:val="18"/>
              </w:rPr>
              <w:t>人机审批</w:t>
            </w:r>
          </w:p>
        </w:tc>
        <w:tc>
          <w:tcPr>
            <w:tcW w:w="1417" w:type="dxa"/>
          </w:tcPr>
          <w:p w14:paraId="0DB0AE0F">
            <w:pPr>
              <w:spacing w:before="20" w:after="20" w:line="240" w:lineRule="auto"/>
              <w:jc w:val="center"/>
            </w:pPr>
            <w:r>
              <w:rPr>
                <w:rFonts w:ascii="宋体" w:hAnsi="宋体" w:eastAsia="宋体" w:cs="宋体"/>
                <w:b w:val="0"/>
                <w:sz w:val="18"/>
              </w:rPr>
              <w:t>授权执行</w:t>
            </w:r>
          </w:p>
        </w:tc>
        <w:tc>
          <w:tcPr>
            <w:tcW w:w="1701" w:type="dxa"/>
          </w:tcPr>
          <w:p w14:paraId="2ADB2736">
            <w:pPr>
              <w:spacing w:before="20" w:after="20" w:line="240" w:lineRule="auto"/>
              <w:jc w:val="center"/>
            </w:pPr>
            <w:r>
              <w:rPr>
                <w:rFonts w:ascii="宋体" w:hAnsi="宋体" w:eastAsia="宋体" w:cs="宋体"/>
                <w:b w:val="0"/>
                <w:sz w:val="18"/>
              </w:rPr>
              <w:t>解锁+日志</w:t>
            </w:r>
          </w:p>
        </w:tc>
        <w:tc>
          <w:tcPr>
            <w:tcW w:w="1134" w:type="dxa"/>
          </w:tcPr>
          <w:p w14:paraId="2EE5EDD7">
            <w:pPr>
              <w:spacing w:before="20" w:after="20" w:line="240" w:lineRule="auto"/>
              <w:jc w:val="center"/>
            </w:pPr>
            <w:r>
              <w:rPr>
                <w:rFonts w:ascii="宋体" w:hAnsi="宋体" w:eastAsia="宋体" w:cs="宋体"/>
                <w:b w:val="0"/>
                <w:sz w:val="18"/>
              </w:rPr>
              <w:t>正常</w:t>
            </w:r>
          </w:p>
        </w:tc>
        <w:tc>
          <w:tcPr>
            <w:tcW w:w="567" w:type="dxa"/>
          </w:tcPr>
          <w:p w14:paraId="39508018">
            <w:pPr>
              <w:spacing w:before="20" w:after="20" w:line="240" w:lineRule="auto"/>
              <w:jc w:val="center"/>
            </w:pPr>
            <w:r>
              <w:rPr>
                <w:rFonts w:ascii="宋体" w:hAnsi="宋体" w:eastAsia="宋体" w:cs="宋体"/>
                <w:b w:val="0"/>
                <w:sz w:val="18"/>
              </w:rPr>
              <w:t>✓</w:t>
            </w:r>
          </w:p>
        </w:tc>
      </w:tr>
    </w:tbl>
    <w:p w14:paraId="3348C75C">
      <w:pPr>
        <w:spacing w:before="0" w:after="0" w:line="276" w:lineRule="auto"/>
        <w:ind w:firstLine="0"/>
        <w:jc w:val="both"/>
      </w:pPr>
      <w:r>
        <w:rPr>
          <w:rFonts w:ascii="黑体" w:hAnsi="黑体" w:eastAsia="黑体" w:cs="黑体"/>
          <w:b w:val="0"/>
          <w:sz w:val="24"/>
        </w:rPr>
        <w:t>5.2.2 端到端集成测试</w:t>
      </w:r>
    </w:p>
    <w:p w14:paraId="47AEE830">
      <w:pPr>
        <w:spacing w:before="0" w:after="0" w:line="276" w:lineRule="auto"/>
        <w:ind w:firstLine="420"/>
        <w:jc w:val="both"/>
      </w:pPr>
      <w:r>
        <w:rPr>
          <w:rFonts w:ascii="宋体" w:hAnsi="宋体" w:eastAsia="宋体" w:cs="宋体"/>
          <w:b w:val="0"/>
          <w:sz w:val="24"/>
        </w:rPr>
        <w:t>模拟四种典型工况验证系统从检测到处置的全链路闭环，结果如表5-6所示。</w:t>
      </w:r>
    </w:p>
    <w:p w14:paraId="5297F55B">
      <w:pPr>
        <w:spacing w:before="0" w:after="40" w:line="276" w:lineRule="auto"/>
        <w:ind w:firstLine="0"/>
        <w:jc w:val="center"/>
      </w:pPr>
      <w:r>
        <w:rPr>
          <w:rFonts w:ascii="宋体" w:hAnsi="宋体" w:eastAsia="宋体" w:cs="宋体"/>
          <w:b/>
          <w:sz w:val="21"/>
        </w:rPr>
        <w:t>表5-6 端到端集成测试场景及结果</w:t>
      </w:r>
    </w:p>
    <w:tbl>
      <w:tblPr>
        <w:tblStyle w:val="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247"/>
        <w:gridCol w:w="1587"/>
        <w:gridCol w:w="2551"/>
        <w:gridCol w:w="850"/>
        <w:gridCol w:w="567"/>
      </w:tblGrid>
      <w:tr w14:paraId="3AAB9139">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shd w:val="clear" w:color="auto" w:fill="D9E2F3"/>
          </w:tcPr>
          <w:p w14:paraId="741A0340">
            <w:pPr>
              <w:spacing w:before="20" w:after="20" w:line="240" w:lineRule="auto"/>
              <w:jc w:val="center"/>
            </w:pPr>
            <w:r>
              <w:rPr>
                <w:rFonts w:ascii="黑体" w:hAnsi="黑体" w:eastAsia="黑体" w:cs="黑体"/>
                <w:b/>
                <w:sz w:val="18"/>
              </w:rPr>
              <w:t>场景</w:t>
            </w:r>
          </w:p>
        </w:tc>
        <w:tc>
          <w:tcPr>
            <w:tcW w:w="1587" w:type="dxa"/>
            <w:shd w:val="clear" w:color="auto" w:fill="D9E2F3"/>
          </w:tcPr>
          <w:p w14:paraId="1A51AA3F">
            <w:pPr>
              <w:spacing w:before="20" w:after="20" w:line="240" w:lineRule="auto"/>
              <w:jc w:val="center"/>
            </w:pPr>
            <w:r>
              <w:rPr>
                <w:rFonts w:ascii="黑体" w:hAnsi="黑体" w:eastAsia="黑体" w:cs="黑体"/>
                <w:b/>
                <w:sz w:val="18"/>
              </w:rPr>
              <w:t>输入条件</w:t>
            </w:r>
          </w:p>
        </w:tc>
        <w:tc>
          <w:tcPr>
            <w:tcW w:w="2551" w:type="dxa"/>
            <w:shd w:val="clear" w:color="auto" w:fill="D9E2F3"/>
          </w:tcPr>
          <w:p w14:paraId="6BF51F12">
            <w:pPr>
              <w:spacing w:before="20" w:after="20" w:line="240" w:lineRule="auto"/>
              <w:jc w:val="center"/>
            </w:pPr>
            <w:r>
              <w:rPr>
                <w:rFonts w:ascii="黑体" w:hAnsi="黑体" w:eastAsia="黑体" w:cs="黑体"/>
                <w:b/>
                <w:sz w:val="18"/>
              </w:rPr>
              <w:t>预期响应链</w:t>
            </w:r>
          </w:p>
        </w:tc>
        <w:tc>
          <w:tcPr>
            <w:tcW w:w="850" w:type="dxa"/>
            <w:shd w:val="clear" w:color="auto" w:fill="D9E2F3"/>
          </w:tcPr>
          <w:p w14:paraId="60D5F53D">
            <w:pPr>
              <w:spacing w:before="20" w:after="20" w:line="240" w:lineRule="auto"/>
              <w:jc w:val="center"/>
            </w:pPr>
            <w:r>
              <w:rPr>
                <w:rFonts w:ascii="黑体" w:hAnsi="黑体" w:eastAsia="黑体" w:cs="黑体"/>
                <w:b/>
                <w:sz w:val="18"/>
              </w:rPr>
              <w:t>端到端</w:t>
            </w:r>
            <w:r>
              <w:rPr>
                <w:rFonts w:ascii="黑体" w:hAnsi="黑体" w:eastAsia="黑体" w:cs="黑体"/>
                <w:b/>
                <w:sz w:val="18"/>
              </w:rPr>
              <w:br w:type="textWrapping"/>
            </w:r>
            <w:r>
              <w:rPr>
                <w:rFonts w:ascii="黑体" w:hAnsi="黑体" w:eastAsia="黑体" w:cs="黑体"/>
                <w:b/>
                <w:sz w:val="18"/>
              </w:rPr>
              <w:t>耗时</w:t>
            </w:r>
          </w:p>
        </w:tc>
        <w:tc>
          <w:tcPr>
            <w:tcW w:w="567" w:type="dxa"/>
            <w:shd w:val="clear" w:color="auto" w:fill="D9E2F3"/>
          </w:tcPr>
          <w:p w14:paraId="22D82627">
            <w:pPr>
              <w:spacing w:before="20" w:after="20" w:line="240" w:lineRule="auto"/>
              <w:jc w:val="center"/>
            </w:pPr>
            <w:r>
              <w:rPr>
                <w:rFonts w:ascii="黑体" w:hAnsi="黑体" w:eastAsia="黑体" w:cs="黑体"/>
                <w:b/>
                <w:sz w:val="18"/>
              </w:rPr>
              <w:t>结果</w:t>
            </w:r>
          </w:p>
        </w:tc>
      </w:tr>
      <w:tr w14:paraId="54D997A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tcPr>
          <w:p w14:paraId="47E0E2B7">
            <w:pPr>
              <w:spacing w:before="20" w:after="20" w:line="240" w:lineRule="auto"/>
              <w:jc w:val="left"/>
            </w:pPr>
            <w:r>
              <w:rPr>
                <w:rFonts w:ascii="宋体" w:hAnsi="宋体" w:eastAsia="宋体" w:cs="宋体"/>
                <w:b w:val="0"/>
                <w:sz w:val="18"/>
              </w:rPr>
              <w:t>单人未戴</w:t>
            </w:r>
            <w:r>
              <w:rPr>
                <w:rFonts w:ascii="宋体" w:hAnsi="宋体" w:eastAsia="宋体" w:cs="宋体"/>
                <w:b w:val="0"/>
                <w:sz w:val="18"/>
              </w:rPr>
              <w:br w:type="textWrapping"/>
            </w:r>
            <w:r>
              <w:rPr>
                <w:rFonts w:ascii="宋体" w:hAnsi="宋体" w:eastAsia="宋体" w:cs="宋体"/>
                <w:b w:val="0"/>
                <w:sz w:val="18"/>
              </w:rPr>
              <w:t>安全帽</w:t>
            </w:r>
          </w:p>
        </w:tc>
        <w:tc>
          <w:tcPr>
            <w:tcW w:w="1587" w:type="dxa"/>
          </w:tcPr>
          <w:p w14:paraId="48A9F7CC">
            <w:pPr>
              <w:spacing w:before="20" w:after="20" w:line="240" w:lineRule="auto"/>
              <w:jc w:val="center"/>
            </w:pPr>
            <w:r>
              <w:rPr>
                <w:rFonts w:ascii="宋体" w:hAnsi="宋体" w:eastAsia="宋体" w:cs="宋体"/>
                <w:b w:val="0"/>
                <w:sz w:val="18"/>
              </w:rPr>
              <w:t>1人进入ROI</w:t>
            </w:r>
            <w:r>
              <w:rPr>
                <w:rFonts w:ascii="宋体" w:hAnsi="宋体" w:eastAsia="宋体" w:cs="宋体"/>
                <w:b w:val="0"/>
                <w:sz w:val="18"/>
              </w:rPr>
              <w:br w:type="textWrapping"/>
            </w:r>
            <w:r>
              <w:rPr>
                <w:rFonts w:ascii="宋体" w:hAnsi="宋体" w:eastAsia="宋体" w:cs="宋体"/>
                <w:b w:val="0"/>
                <w:sz w:val="18"/>
              </w:rPr>
              <w:t>无安全帽</w:t>
            </w:r>
          </w:p>
        </w:tc>
        <w:tc>
          <w:tcPr>
            <w:tcW w:w="2551" w:type="dxa"/>
          </w:tcPr>
          <w:p w14:paraId="15FEA592">
            <w:pPr>
              <w:spacing w:before="20" w:after="20" w:line="240" w:lineRule="auto"/>
              <w:jc w:val="center"/>
            </w:pPr>
            <w:r>
              <w:rPr>
                <w:rFonts w:ascii="宋体" w:hAnsi="宋体" w:eastAsia="宋体" w:cs="宋体"/>
                <w:b w:val="0"/>
                <w:sz w:val="18"/>
              </w:rPr>
              <w:t>B级报警→LLM分析→</w:t>
            </w:r>
            <w:r>
              <w:rPr>
                <w:rFonts w:ascii="宋体" w:hAnsi="宋体" w:eastAsia="宋体" w:cs="宋体"/>
                <w:b w:val="0"/>
                <w:sz w:val="18"/>
              </w:rPr>
              <w:br w:type="textWrapping"/>
            </w:r>
            <w:r>
              <w:rPr>
                <w:rFonts w:ascii="宋体" w:hAnsi="宋体" w:eastAsia="宋体" w:cs="宋体"/>
                <w:b w:val="0"/>
                <w:sz w:val="18"/>
              </w:rPr>
              <w:t>钉钉推送→3D红色标签</w:t>
            </w:r>
          </w:p>
        </w:tc>
        <w:tc>
          <w:tcPr>
            <w:tcW w:w="850" w:type="dxa"/>
          </w:tcPr>
          <w:p w14:paraId="19018AD7">
            <w:pPr>
              <w:spacing w:before="20" w:after="20" w:line="240" w:lineRule="auto"/>
              <w:jc w:val="center"/>
            </w:pPr>
            <w:r>
              <w:rPr>
                <w:rFonts w:ascii="宋体" w:hAnsi="宋体" w:eastAsia="宋体" w:cs="宋体"/>
                <w:b w:val="0"/>
                <w:sz w:val="18"/>
              </w:rPr>
              <w:t>4.2s</w:t>
            </w:r>
          </w:p>
        </w:tc>
        <w:tc>
          <w:tcPr>
            <w:tcW w:w="567" w:type="dxa"/>
          </w:tcPr>
          <w:p w14:paraId="24956C45">
            <w:pPr>
              <w:spacing w:before="20" w:after="20" w:line="240" w:lineRule="auto"/>
              <w:jc w:val="center"/>
            </w:pPr>
            <w:r>
              <w:rPr>
                <w:rFonts w:ascii="宋体" w:hAnsi="宋体" w:eastAsia="宋体" w:cs="宋体"/>
                <w:b w:val="0"/>
                <w:sz w:val="18"/>
              </w:rPr>
              <w:t>✓</w:t>
            </w:r>
          </w:p>
        </w:tc>
      </w:tr>
      <w:tr w14:paraId="0EA4376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shd w:val="clear" w:color="auto" w:fill="F5F5F5"/>
          </w:tcPr>
          <w:p w14:paraId="0CF34395">
            <w:pPr>
              <w:spacing w:before="20" w:after="20" w:line="240" w:lineRule="auto"/>
              <w:jc w:val="left"/>
            </w:pPr>
            <w:r>
              <w:rPr>
                <w:rFonts w:ascii="宋体" w:hAnsi="宋体" w:eastAsia="宋体" w:cs="宋体"/>
                <w:b w:val="0"/>
                <w:sz w:val="18"/>
              </w:rPr>
              <w:t>双人同时</w:t>
            </w:r>
            <w:r>
              <w:rPr>
                <w:rFonts w:ascii="宋体" w:hAnsi="宋体" w:eastAsia="宋体" w:cs="宋体"/>
                <w:b w:val="0"/>
                <w:sz w:val="18"/>
              </w:rPr>
              <w:br w:type="textWrapping"/>
            </w:r>
            <w:r>
              <w:rPr>
                <w:rFonts w:ascii="宋体" w:hAnsi="宋体" w:eastAsia="宋体" w:cs="宋体"/>
                <w:b w:val="0"/>
                <w:sz w:val="18"/>
              </w:rPr>
              <w:t>违规</w:t>
            </w:r>
          </w:p>
        </w:tc>
        <w:tc>
          <w:tcPr>
            <w:tcW w:w="1587" w:type="dxa"/>
            <w:shd w:val="clear" w:color="auto" w:fill="F5F5F5"/>
          </w:tcPr>
          <w:p w14:paraId="380531B7">
            <w:pPr>
              <w:spacing w:before="20" w:after="20" w:line="240" w:lineRule="auto"/>
              <w:jc w:val="center"/>
            </w:pPr>
            <w:r>
              <w:rPr>
                <w:rFonts w:ascii="宋体" w:hAnsi="宋体" w:eastAsia="宋体" w:cs="宋体"/>
                <w:b w:val="0"/>
                <w:sz w:val="18"/>
              </w:rPr>
              <w:t>1人缺帽+1人</w:t>
            </w:r>
            <w:r>
              <w:rPr>
                <w:rFonts w:ascii="宋体" w:hAnsi="宋体" w:eastAsia="宋体" w:cs="宋体"/>
                <w:b w:val="0"/>
                <w:sz w:val="18"/>
              </w:rPr>
              <w:br w:type="textWrapping"/>
            </w:r>
            <w:r>
              <w:rPr>
                <w:rFonts w:ascii="宋体" w:hAnsi="宋体" w:eastAsia="宋体" w:cs="宋体"/>
                <w:b w:val="0"/>
                <w:sz w:val="18"/>
              </w:rPr>
              <w:t>缺背心</w:t>
            </w:r>
          </w:p>
        </w:tc>
        <w:tc>
          <w:tcPr>
            <w:tcW w:w="2551" w:type="dxa"/>
            <w:shd w:val="clear" w:color="auto" w:fill="F5F5F5"/>
          </w:tcPr>
          <w:p w14:paraId="71A510CD">
            <w:pPr>
              <w:spacing w:before="20" w:after="20" w:line="240" w:lineRule="auto"/>
              <w:jc w:val="center"/>
            </w:pPr>
            <w:r>
              <w:rPr>
                <w:rFonts w:ascii="宋体" w:hAnsi="宋体" w:eastAsia="宋体" w:cs="宋体"/>
                <w:b w:val="0"/>
                <w:sz w:val="18"/>
              </w:rPr>
              <w:t>感知拆分为2个事件→LLM</w:t>
            </w:r>
            <w:r>
              <w:rPr>
                <w:rFonts w:ascii="宋体" w:hAnsi="宋体" w:eastAsia="宋体" w:cs="宋体"/>
                <w:b w:val="0"/>
                <w:sz w:val="18"/>
              </w:rPr>
              <w:br w:type="textWrapping"/>
            </w:r>
            <w:r>
              <w:rPr>
                <w:rFonts w:ascii="宋体" w:hAnsi="宋体" w:eastAsia="宋体" w:cs="宋体"/>
                <w:b w:val="0"/>
                <w:sz w:val="18"/>
              </w:rPr>
              <w:t>区分类型→独立模型着色</w:t>
            </w:r>
          </w:p>
        </w:tc>
        <w:tc>
          <w:tcPr>
            <w:tcW w:w="850" w:type="dxa"/>
            <w:shd w:val="clear" w:color="auto" w:fill="F5F5F5"/>
          </w:tcPr>
          <w:p w14:paraId="043090EE">
            <w:pPr>
              <w:spacing w:before="20" w:after="20" w:line="240" w:lineRule="auto"/>
              <w:jc w:val="center"/>
            </w:pPr>
            <w:r>
              <w:rPr>
                <w:rFonts w:ascii="宋体" w:hAnsi="宋体" w:eastAsia="宋体" w:cs="宋体"/>
                <w:b w:val="0"/>
                <w:sz w:val="18"/>
              </w:rPr>
              <w:t>4.8s</w:t>
            </w:r>
          </w:p>
        </w:tc>
        <w:tc>
          <w:tcPr>
            <w:tcW w:w="567" w:type="dxa"/>
            <w:shd w:val="clear" w:color="auto" w:fill="F5F5F5"/>
          </w:tcPr>
          <w:p w14:paraId="5A6CF1D6">
            <w:pPr>
              <w:spacing w:before="20" w:after="20" w:line="240" w:lineRule="auto"/>
              <w:jc w:val="center"/>
            </w:pPr>
            <w:r>
              <w:rPr>
                <w:rFonts w:ascii="宋体" w:hAnsi="宋体" w:eastAsia="宋体" w:cs="宋体"/>
                <w:b w:val="0"/>
                <w:sz w:val="18"/>
              </w:rPr>
              <w:t>✓</w:t>
            </w:r>
          </w:p>
        </w:tc>
      </w:tr>
      <w:tr w14:paraId="45CBBBB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tcPr>
          <w:p w14:paraId="3E487883">
            <w:pPr>
              <w:spacing w:before="20" w:after="20" w:line="240" w:lineRule="auto"/>
              <w:jc w:val="left"/>
            </w:pPr>
            <w:r>
              <w:rPr>
                <w:rFonts w:ascii="宋体" w:hAnsi="宋体" w:eastAsia="宋体" w:cs="宋体"/>
                <w:b w:val="0"/>
                <w:sz w:val="18"/>
              </w:rPr>
              <w:t>火焰</w:t>
            </w:r>
            <w:r>
              <w:rPr>
                <w:rFonts w:ascii="宋体" w:hAnsi="宋体" w:eastAsia="宋体" w:cs="宋体"/>
                <w:b w:val="0"/>
                <w:sz w:val="18"/>
              </w:rPr>
              <w:br w:type="textWrapping"/>
            </w:r>
            <w:r>
              <w:rPr>
                <w:rFonts w:ascii="宋体" w:hAnsi="宋体" w:eastAsia="宋体" w:cs="宋体"/>
                <w:b w:val="0"/>
                <w:sz w:val="18"/>
              </w:rPr>
              <w:t>高危</w:t>
            </w:r>
          </w:p>
        </w:tc>
        <w:tc>
          <w:tcPr>
            <w:tcW w:w="1587" w:type="dxa"/>
          </w:tcPr>
          <w:p w14:paraId="7A49BE04">
            <w:pPr>
              <w:spacing w:before="20" w:after="20" w:line="240" w:lineRule="auto"/>
              <w:jc w:val="center"/>
            </w:pPr>
            <w:r>
              <w:rPr>
                <w:rFonts w:ascii="宋体" w:hAnsi="宋体" w:eastAsia="宋体" w:cs="宋体"/>
                <w:b w:val="0"/>
                <w:sz w:val="18"/>
              </w:rPr>
              <w:t>画面出现火焰</w:t>
            </w:r>
          </w:p>
        </w:tc>
        <w:tc>
          <w:tcPr>
            <w:tcW w:w="2551" w:type="dxa"/>
          </w:tcPr>
          <w:p w14:paraId="2E807F08">
            <w:pPr>
              <w:spacing w:before="20" w:after="20" w:line="240" w:lineRule="auto"/>
              <w:jc w:val="center"/>
            </w:pPr>
            <w:r>
              <w:rPr>
                <w:rFonts w:ascii="宋体" w:hAnsi="宋体" w:eastAsia="宋体" w:cs="宋体"/>
                <w:b w:val="0"/>
                <w:sz w:val="18"/>
              </w:rPr>
              <w:t>A级→审批卡片→Tween</w:t>
            </w:r>
            <w:r>
              <w:rPr>
                <w:rFonts w:ascii="宋体" w:hAnsi="宋体" w:eastAsia="宋体" w:cs="宋体"/>
                <w:b w:val="0"/>
                <w:sz w:val="18"/>
              </w:rPr>
              <w:br w:type="textWrapping"/>
            </w:r>
            <w:r>
              <w:rPr>
                <w:rFonts w:ascii="宋体" w:hAnsi="宋体" w:eastAsia="宋体" w:cs="宋体"/>
                <w:b w:val="0"/>
                <w:sz w:val="18"/>
              </w:rPr>
              <w:t>推近→紧急推送→语音</w:t>
            </w:r>
          </w:p>
        </w:tc>
        <w:tc>
          <w:tcPr>
            <w:tcW w:w="850" w:type="dxa"/>
          </w:tcPr>
          <w:p w14:paraId="6718CE38">
            <w:pPr>
              <w:spacing w:before="20" w:after="20" w:line="240" w:lineRule="auto"/>
              <w:jc w:val="center"/>
            </w:pPr>
            <w:r>
              <w:rPr>
                <w:rFonts w:ascii="宋体" w:hAnsi="宋体" w:eastAsia="宋体" w:cs="宋体"/>
                <w:b w:val="0"/>
                <w:sz w:val="18"/>
              </w:rPr>
              <w:t>4.1s</w:t>
            </w:r>
          </w:p>
        </w:tc>
        <w:tc>
          <w:tcPr>
            <w:tcW w:w="567" w:type="dxa"/>
          </w:tcPr>
          <w:p w14:paraId="1BB84C53">
            <w:pPr>
              <w:spacing w:before="20" w:after="20" w:line="240" w:lineRule="auto"/>
              <w:jc w:val="center"/>
            </w:pPr>
            <w:r>
              <w:rPr>
                <w:rFonts w:ascii="宋体" w:hAnsi="宋体" w:eastAsia="宋体" w:cs="宋体"/>
                <w:b w:val="0"/>
                <w:sz w:val="18"/>
              </w:rPr>
              <w:t>✓</w:t>
            </w:r>
          </w:p>
        </w:tc>
      </w:tr>
      <w:tr w14:paraId="577744B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shd w:val="clear" w:color="auto" w:fill="F5F5F5"/>
          </w:tcPr>
          <w:p w14:paraId="2D062B6F">
            <w:pPr>
              <w:spacing w:before="20" w:after="20" w:line="240" w:lineRule="auto"/>
              <w:jc w:val="left"/>
            </w:pPr>
            <w:r>
              <w:rPr>
                <w:rFonts w:ascii="宋体" w:hAnsi="宋体" w:eastAsia="宋体" w:cs="宋体"/>
                <w:b w:val="0"/>
                <w:sz w:val="18"/>
              </w:rPr>
              <w:t>连续违规</w:t>
            </w:r>
            <w:r>
              <w:rPr>
                <w:rFonts w:ascii="宋体" w:hAnsi="宋体" w:eastAsia="宋体" w:cs="宋体"/>
                <w:b w:val="0"/>
                <w:sz w:val="18"/>
              </w:rPr>
              <w:br w:type="textWrapping"/>
            </w:r>
            <w:r>
              <w:rPr>
                <w:rFonts w:ascii="宋体" w:hAnsi="宋体" w:eastAsia="宋体" w:cs="宋体"/>
                <w:b w:val="0"/>
                <w:sz w:val="18"/>
              </w:rPr>
              <w:t>记忆升级</w:t>
            </w:r>
          </w:p>
        </w:tc>
        <w:tc>
          <w:tcPr>
            <w:tcW w:w="1587" w:type="dxa"/>
            <w:shd w:val="clear" w:color="auto" w:fill="F5F5F5"/>
          </w:tcPr>
          <w:p w14:paraId="3BDC44E4">
            <w:pPr>
              <w:spacing w:before="20" w:after="20" w:line="240" w:lineRule="auto"/>
              <w:jc w:val="center"/>
            </w:pPr>
            <w:r>
              <w:rPr>
                <w:rFonts w:ascii="宋体" w:hAnsi="宋体" w:eastAsia="宋体" w:cs="宋体"/>
                <w:b w:val="0"/>
                <w:sz w:val="18"/>
              </w:rPr>
              <w:t>5min内同区</w:t>
            </w:r>
            <w:r>
              <w:rPr>
                <w:rFonts w:ascii="宋体" w:hAnsi="宋体" w:eastAsia="宋体" w:cs="宋体"/>
                <w:b w:val="0"/>
                <w:sz w:val="18"/>
              </w:rPr>
              <w:br w:type="textWrapping"/>
            </w:r>
            <w:r>
              <w:rPr>
                <w:rFonts w:ascii="宋体" w:hAnsi="宋体" w:eastAsia="宋体" w:cs="宋体"/>
                <w:b w:val="0"/>
                <w:sz w:val="18"/>
              </w:rPr>
              <w:t>3次缺帽</w:t>
            </w:r>
          </w:p>
        </w:tc>
        <w:tc>
          <w:tcPr>
            <w:tcW w:w="2551" w:type="dxa"/>
            <w:shd w:val="clear" w:color="auto" w:fill="F5F5F5"/>
          </w:tcPr>
          <w:p w14:paraId="78C642E4">
            <w:pPr>
              <w:spacing w:before="20" w:after="20" w:line="240" w:lineRule="auto"/>
              <w:jc w:val="center"/>
            </w:pPr>
            <w:r>
              <w:rPr>
                <w:rFonts w:ascii="宋体" w:hAnsi="宋体" w:eastAsia="宋体" w:cs="宋体"/>
                <w:b w:val="0"/>
                <w:sz w:val="18"/>
              </w:rPr>
              <w:t>第3次B→A升级→LLM追加</w:t>
            </w:r>
            <w:r>
              <w:rPr>
                <w:rFonts w:ascii="宋体" w:hAnsi="宋体" w:eastAsia="宋体" w:cs="宋体"/>
                <w:b w:val="0"/>
                <w:sz w:val="18"/>
              </w:rPr>
              <w:br w:type="textWrapping"/>
            </w:r>
            <w:r>
              <w:rPr>
                <w:rFonts w:ascii="宋体" w:hAnsi="宋体" w:eastAsia="宋体" w:cs="宋体"/>
                <w:b w:val="0"/>
                <w:sz w:val="18"/>
              </w:rPr>
              <w:t>"区域连续违规"标识→卡片</w:t>
            </w:r>
          </w:p>
        </w:tc>
        <w:tc>
          <w:tcPr>
            <w:tcW w:w="850" w:type="dxa"/>
            <w:shd w:val="clear" w:color="auto" w:fill="F5F5F5"/>
          </w:tcPr>
          <w:p w14:paraId="68F99D32">
            <w:pPr>
              <w:spacing w:before="20" w:after="20" w:line="240" w:lineRule="auto"/>
              <w:jc w:val="center"/>
            </w:pPr>
            <w:r>
              <w:rPr>
                <w:rFonts w:ascii="宋体" w:hAnsi="宋体" w:eastAsia="宋体" w:cs="宋体"/>
                <w:b w:val="0"/>
                <w:sz w:val="18"/>
              </w:rPr>
              <w:t>4.5s</w:t>
            </w:r>
          </w:p>
        </w:tc>
        <w:tc>
          <w:tcPr>
            <w:tcW w:w="567" w:type="dxa"/>
            <w:shd w:val="clear" w:color="auto" w:fill="F5F5F5"/>
          </w:tcPr>
          <w:p w14:paraId="6EA8E765">
            <w:pPr>
              <w:spacing w:before="20" w:after="20" w:line="240" w:lineRule="auto"/>
              <w:jc w:val="center"/>
            </w:pPr>
            <w:r>
              <w:rPr>
                <w:rFonts w:ascii="宋体" w:hAnsi="宋体" w:eastAsia="宋体" w:cs="宋体"/>
                <w:b w:val="0"/>
                <w:sz w:val="18"/>
              </w:rPr>
              <w:t>✓</w:t>
            </w:r>
          </w:p>
        </w:tc>
      </w:tr>
    </w:tbl>
    <w:p w14:paraId="511C80C8">
      <w:pPr>
        <w:spacing w:before="0" w:after="0" w:line="276" w:lineRule="auto"/>
        <w:ind w:firstLine="0"/>
        <w:jc w:val="both"/>
      </w:pPr>
      <w:bookmarkStart w:id="18" w:name="_GoBack"/>
      <w:bookmarkEnd w:id="18"/>
    </w:p>
    <w:p w14:paraId="766B91FC">
      <w:pPr>
        <w:spacing w:before="0" w:after="0" w:line="276" w:lineRule="auto"/>
        <w:ind w:firstLine="0"/>
        <w:jc w:val="both"/>
      </w:pPr>
      <w:r>
        <w:rPr>
          <w:rFonts w:ascii="黑体" w:hAnsi="黑体" w:eastAsia="黑体" w:cs="黑体"/>
          <w:b w:val="0"/>
          <w:sz w:val="24"/>
        </w:rPr>
        <w:t>5.2.3 稳定性与并发测试</w:t>
      </w:r>
    </w:p>
    <w:p w14:paraId="424C5C4B">
      <w:pPr>
        <w:spacing w:before="0" w:after="0" w:line="276" w:lineRule="auto"/>
        <w:ind w:firstLine="420"/>
        <w:jc w:val="both"/>
      </w:pPr>
      <w:r>
        <w:rPr>
          <w:rFonts w:ascii="宋体" w:hAnsi="宋体" w:eastAsia="宋体" w:cs="宋体"/>
          <w:b w:val="0"/>
          <w:sz w:val="24"/>
        </w:rPr>
        <w:t>72小时连续运行测试：处理4320次模拟报警（1次/min），内存稳定在2.1-2.3GB（零泄漏），WebSocket断连自动恢复率100%，SQLite由0KB增至47MB，查询无明显衰减，Ollama服务零崩溃，GPU显存稳定6.8GB。</w:t>
      </w:r>
    </w:p>
    <w:p w14:paraId="5DF4AF8A">
      <w:pPr>
        <w:spacing w:before="0" w:after="0" w:line="276" w:lineRule="auto"/>
        <w:ind w:firstLine="420"/>
        <w:jc w:val="both"/>
      </w:pPr>
      <w:r>
        <w:rPr>
          <w:rFonts w:ascii="宋体" w:hAnsi="宋体" w:eastAsia="宋体" w:cs="宋体"/>
          <w:b w:val="0"/>
          <w:sz w:val="24"/>
        </w:rPr>
        <w:t>多路并发压力测试结果如表5-7所示。</w:t>
      </w:r>
    </w:p>
    <w:p w14:paraId="35BFB5B4">
      <w:pPr>
        <w:spacing w:before="0" w:after="40" w:line="276" w:lineRule="auto"/>
        <w:ind w:firstLine="0"/>
        <w:jc w:val="center"/>
      </w:pPr>
      <w:r>
        <w:rPr>
          <w:rFonts w:ascii="宋体" w:hAnsi="宋体" w:eastAsia="宋体" w:cs="宋体"/>
          <w:b/>
          <w:sz w:val="21"/>
        </w:rPr>
        <w:t>表5-7 多路并发压力测试结果</w:t>
      </w:r>
    </w:p>
    <w:tbl>
      <w:tblPr>
        <w:tblStyle w:val="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020"/>
        <w:gridCol w:w="1020"/>
        <w:gridCol w:w="907"/>
        <w:gridCol w:w="850"/>
        <w:gridCol w:w="907"/>
        <w:gridCol w:w="907"/>
        <w:gridCol w:w="907"/>
      </w:tblGrid>
      <w:tr w14:paraId="1FE31E5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020" w:type="dxa"/>
            <w:shd w:val="clear" w:color="auto" w:fill="D9E2F3"/>
          </w:tcPr>
          <w:p w14:paraId="30509F1F">
            <w:pPr>
              <w:spacing w:before="20" w:after="20" w:line="240" w:lineRule="auto"/>
              <w:jc w:val="center"/>
            </w:pPr>
            <w:r>
              <w:rPr>
                <w:rFonts w:ascii="黑体" w:hAnsi="黑体" w:eastAsia="黑体" w:cs="黑体"/>
                <w:b/>
                <w:sz w:val="18"/>
              </w:rPr>
              <w:t>并发</w:t>
            </w:r>
            <w:r>
              <w:rPr>
                <w:rFonts w:ascii="黑体" w:hAnsi="黑体" w:eastAsia="黑体" w:cs="黑体"/>
                <w:b/>
                <w:sz w:val="18"/>
              </w:rPr>
              <w:br w:type="textWrapping"/>
            </w:r>
            <w:r>
              <w:rPr>
                <w:rFonts w:ascii="黑体" w:hAnsi="黑体" w:eastAsia="黑体" w:cs="黑体"/>
                <w:b/>
                <w:sz w:val="18"/>
              </w:rPr>
              <w:t>路数</w:t>
            </w:r>
          </w:p>
        </w:tc>
        <w:tc>
          <w:tcPr>
            <w:tcW w:w="1020" w:type="dxa"/>
            <w:shd w:val="clear" w:color="auto" w:fill="D9E2F3"/>
          </w:tcPr>
          <w:p w14:paraId="04A5225A">
            <w:pPr>
              <w:spacing w:before="20" w:after="20" w:line="240" w:lineRule="auto"/>
              <w:jc w:val="center"/>
            </w:pPr>
            <w:r>
              <w:rPr>
                <w:rFonts w:ascii="黑体" w:hAnsi="黑体" w:eastAsia="黑体" w:cs="黑体"/>
                <w:b/>
                <w:sz w:val="18"/>
              </w:rPr>
              <w:t>平均延迟</w:t>
            </w:r>
            <w:r>
              <w:rPr>
                <w:rFonts w:ascii="黑体" w:hAnsi="黑体" w:eastAsia="黑体" w:cs="黑体"/>
                <w:b/>
                <w:sz w:val="18"/>
              </w:rPr>
              <w:br w:type="textWrapping"/>
            </w:r>
            <w:r>
              <w:rPr>
                <w:rFonts w:ascii="黑体" w:hAnsi="黑体" w:eastAsia="黑体" w:cs="黑体"/>
                <w:b/>
                <w:sz w:val="18"/>
              </w:rPr>
              <w:t>(s)</w:t>
            </w:r>
          </w:p>
        </w:tc>
        <w:tc>
          <w:tcPr>
            <w:tcW w:w="907" w:type="dxa"/>
            <w:shd w:val="clear" w:color="auto" w:fill="D9E2F3"/>
          </w:tcPr>
          <w:p w14:paraId="273EAA00">
            <w:pPr>
              <w:spacing w:before="20" w:after="20" w:line="240" w:lineRule="auto"/>
              <w:jc w:val="center"/>
            </w:pPr>
            <w:r>
              <w:rPr>
                <w:rFonts w:ascii="黑体" w:hAnsi="黑体" w:eastAsia="黑体" w:cs="黑体"/>
                <w:b/>
                <w:sz w:val="18"/>
              </w:rPr>
              <w:t>P99延迟</w:t>
            </w:r>
            <w:r>
              <w:rPr>
                <w:rFonts w:ascii="黑体" w:hAnsi="黑体" w:eastAsia="黑体" w:cs="黑体"/>
                <w:b/>
                <w:sz w:val="18"/>
              </w:rPr>
              <w:br w:type="textWrapping"/>
            </w:r>
            <w:r>
              <w:rPr>
                <w:rFonts w:ascii="黑体" w:hAnsi="黑体" w:eastAsia="黑体" w:cs="黑体"/>
                <w:b/>
                <w:sz w:val="18"/>
              </w:rPr>
              <w:t>(s)</w:t>
            </w:r>
          </w:p>
        </w:tc>
        <w:tc>
          <w:tcPr>
            <w:tcW w:w="850" w:type="dxa"/>
            <w:shd w:val="clear" w:color="auto" w:fill="D9E2F3"/>
          </w:tcPr>
          <w:p w14:paraId="4AC098E5">
            <w:pPr>
              <w:spacing w:before="20" w:after="20" w:line="240" w:lineRule="auto"/>
              <w:jc w:val="center"/>
            </w:pPr>
            <w:r>
              <w:rPr>
                <w:rFonts w:ascii="黑体" w:hAnsi="黑体" w:eastAsia="黑体" w:cs="黑体"/>
                <w:b/>
                <w:sz w:val="18"/>
              </w:rPr>
              <w:t>丢报率</w:t>
            </w:r>
            <w:r>
              <w:rPr>
                <w:rFonts w:ascii="黑体" w:hAnsi="黑体" w:eastAsia="黑体" w:cs="黑体"/>
                <w:b/>
                <w:sz w:val="18"/>
              </w:rPr>
              <w:br w:type="textWrapping"/>
            </w:r>
            <w:r>
              <w:rPr>
                <w:rFonts w:ascii="黑体" w:hAnsi="黑体" w:eastAsia="黑体" w:cs="黑体"/>
                <w:b/>
                <w:sz w:val="18"/>
              </w:rPr>
              <w:t>(%)</w:t>
            </w:r>
          </w:p>
        </w:tc>
        <w:tc>
          <w:tcPr>
            <w:tcW w:w="907" w:type="dxa"/>
            <w:shd w:val="clear" w:color="auto" w:fill="D9E2F3"/>
          </w:tcPr>
          <w:p w14:paraId="3C9EC9C7">
            <w:pPr>
              <w:spacing w:before="20" w:after="20" w:line="240" w:lineRule="auto"/>
              <w:jc w:val="center"/>
            </w:pPr>
            <w:r>
              <w:rPr>
                <w:rFonts w:ascii="黑体" w:hAnsi="黑体" w:eastAsia="黑体" w:cs="黑体"/>
                <w:b/>
                <w:sz w:val="18"/>
              </w:rPr>
              <w:t>前端帧率</w:t>
            </w:r>
            <w:r>
              <w:rPr>
                <w:rFonts w:ascii="黑体" w:hAnsi="黑体" w:eastAsia="黑体" w:cs="黑体"/>
                <w:b/>
                <w:sz w:val="18"/>
              </w:rPr>
              <w:br w:type="textWrapping"/>
            </w:r>
            <w:r>
              <w:rPr>
                <w:rFonts w:ascii="黑体" w:hAnsi="黑体" w:eastAsia="黑体" w:cs="黑体"/>
                <w:b/>
                <w:sz w:val="18"/>
              </w:rPr>
              <w:t>(fps)</w:t>
            </w:r>
          </w:p>
        </w:tc>
        <w:tc>
          <w:tcPr>
            <w:tcW w:w="907" w:type="dxa"/>
            <w:shd w:val="clear" w:color="auto" w:fill="D9E2F3"/>
          </w:tcPr>
          <w:p w14:paraId="00231E02">
            <w:pPr>
              <w:spacing w:before="20" w:after="20" w:line="240" w:lineRule="auto"/>
              <w:jc w:val="center"/>
            </w:pPr>
            <w:r>
              <w:rPr>
                <w:rFonts w:ascii="黑体" w:hAnsi="黑体" w:eastAsia="黑体" w:cs="黑体"/>
                <w:b/>
                <w:sz w:val="18"/>
              </w:rPr>
              <w:t>GPU显存</w:t>
            </w:r>
            <w:r>
              <w:rPr>
                <w:rFonts w:ascii="黑体" w:hAnsi="黑体" w:eastAsia="黑体" w:cs="黑体"/>
                <w:b/>
                <w:sz w:val="18"/>
              </w:rPr>
              <w:br w:type="textWrapping"/>
            </w:r>
            <w:r>
              <w:rPr>
                <w:rFonts w:ascii="黑体" w:hAnsi="黑体" w:eastAsia="黑体" w:cs="黑体"/>
                <w:b/>
                <w:sz w:val="18"/>
              </w:rPr>
              <w:t>(GB)</w:t>
            </w:r>
          </w:p>
        </w:tc>
        <w:tc>
          <w:tcPr>
            <w:tcW w:w="907" w:type="dxa"/>
            <w:shd w:val="clear" w:color="auto" w:fill="D9E2F3"/>
          </w:tcPr>
          <w:p w14:paraId="451D68AD">
            <w:pPr>
              <w:spacing w:before="20" w:after="20" w:line="240" w:lineRule="auto"/>
              <w:jc w:val="center"/>
            </w:pPr>
            <w:r>
              <w:rPr>
                <w:rFonts w:ascii="黑体" w:hAnsi="黑体" w:eastAsia="黑体" w:cs="黑体"/>
                <w:b/>
                <w:sz w:val="18"/>
              </w:rPr>
              <w:t>CPU占用</w:t>
            </w:r>
            <w:r>
              <w:rPr>
                <w:rFonts w:ascii="黑体" w:hAnsi="黑体" w:eastAsia="黑体" w:cs="黑体"/>
                <w:b/>
                <w:sz w:val="18"/>
              </w:rPr>
              <w:br w:type="textWrapping"/>
            </w:r>
            <w:r>
              <w:rPr>
                <w:rFonts w:ascii="黑体" w:hAnsi="黑体" w:eastAsia="黑体" w:cs="黑体"/>
                <w:b/>
                <w:sz w:val="18"/>
              </w:rPr>
              <w:t>(%)</w:t>
            </w:r>
          </w:p>
        </w:tc>
      </w:tr>
      <w:tr w14:paraId="1FEA5B6D">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020" w:type="dxa"/>
          </w:tcPr>
          <w:p w14:paraId="42CB1FA7">
            <w:pPr>
              <w:spacing w:before="20" w:after="20" w:line="240" w:lineRule="auto"/>
              <w:jc w:val="left"/>
            </w:pPr>
            <w:r>
              <w:rPr>
                <w:rFonts w:ascii="宋体" w:hAnsi="宋体" w:eastAsia="宋体" w:cs="宋体"/>
                <w:b w:val="0"/>
                <w:sz w:val="18"/>
              </w:rPr>
              <w:t>1路</w:t>
            </w:r>
          </w:p>
        </w:tc>
        <w:tc>
          <w:tcPr>
            <w:tcW w:w="1020" w:type="dxa"/>
          </w:tcPr>
          <w:p w14:paraId="1EAC40C4">
            <w:pPr>
              <w:spacing w:before="20" w:after="20" w:line="240" w:lineRule="auto"/>
              <w:jc w:val="center"/>
            </w:pPr>
            <w:r>
              <w:rPr>
                <w:rFonts w:ascii="宋体" w:hAnsi="宋体" w:eastAsia="宋体" w:cs="宋体"/>
                <w:b w:val="0"/>
                <w:sz w:val="18"/>
              </w:rPr>
              <w:t>4.5</w:t>
            </w:r>
          </w:p>
        </w:tc>
        <w:tc>
          <w:tcPr>
            <w:tcW w:w="907" w:type="dxa"/>
          </w:tcPr>
          <w:p w14:paraId="6097E423">
            <w:pPr>
              <w:spacing w:before="20" w:after="20" w:line="240" w:lineRule="auto"/>
              <w:jc w:val="center"/>
            </w:pPr>
            <w:r>
              <w:rPr>
                <w:rFonts w:ascii="宋体" w:hAnsi="宋体" w:eastAsia="宋体" w:cs="宋体"/>
                <w:b w:val="0"/>
                <w:sz w:val="18"/>
              </w:rPr>
              <w:t>5.1</w:t>
            </w:r>
          </w:p>
        </w:tc>
        <w:tc>
          <w:tcPr>
            <w:tcW w:w="850" w:type="dxa"/>
          </w:tcPr>
          <w:p w14:paraId="57C20A54">
            <w:pPr>
              <w:spacing w:before="20" w:after="20" w:line="240" w:lineRule="auto"/>
              <w:jc w:val="center"/>
            </w:pPr>
            <w:r>
              <w:rPr>
                <w:rFonts w:ascii="宋体" w:hAnsi="宋体" w:eastAsia="宋体" w:cs="宋体"/>
                <w:b w:val="0"/>
                <w:sz w:val="18"/>
              </w:rPr>
              <w:t>0</w:t>
            </w:r>
          </w:p>
        </w:tc>
        <w:tc>
          <w:tcPr>
            <w:tcW w:w="907" w:type="dxa"/>
          </w:tcPr>
          <w:p w14:paraId="6650A6D8">
            <w:pPr>
              <w:spacing w:before="20" w:after="20" w:line="240" w:lineRule="auto"/>
              <w:jc w:val="center"/>
            </w:pPr>
            <w:r>
              <w:rPr>
                <w:rFonts w:ascii="宋体" w:hAnsi="宋体" w:eastAsia="宋体" w:cs="宋体"/>
                <w:b w:val="0"/>
                <w:sz w:val="18"/>
              </w:rPr>
              <w:t>60</w:t>
            </w:r>
          </w:p>
        </w:tc>
        <w:tc>
          <w:tcPr>
            <w:tcW w:w="907" w:type="dxa"/>
          </w:tcPr>
          <w:p w14:paraId="25E8F248">
            <w:pPr>
              <w:spacing w:before="20" w:after="20" w:line="240" w:lineRule="auto"/>
              <w:jc w:val="center"/>
            </w:pPr>
            <w:r>
              <w:rPr>
                <w:rFonts w:ascii="宋体" w:hAnsi="宋体" w:eastAsia="宋体" w:cs="宋体"/>
                <w:b w:val="0"/>
                <w:sz w:val="18"/>
              </w:rPr>
              <w:t>6.8</w:t>
            </w:r>
          </w:p>
        </w:tc>
        <w:tc>
          <w:tcPr>
            <w:tcW w:w="907" w:type="dxa"/>
          </w:tcPr>
          <w:p w14:paraId="1012C8DB">
            <w:pPr>
              <w:spacing w:before="20" w:after="20" w:line="240" w:lineRule="auto"/>
              <w:jc w:val="center"/>
            </w:pPr>
            <w:r>
              <w:rPr>
                <w:rFonts w:ascii="宋体" w:hAnsi="宋体" w:eastAsia="宋体" w:cs="宋体"/>
                <w:b w:val="0"/>
                <w:sz w:val="18"/>
              </w:rPr>
              <w:t>22</w:t>
            </w:r>
          </w:p>
        </w:tc>
      </w:tr>
      <w:tr w14:paraId="29F3F17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020" w:type="dxa"/>
            <w:shd w:val="clear" w:color="auto" w:fill="F5F5F5"/>
          </w:tcPr>
          <w:p w14:paraId="10707591">
            <w:pPr>
              <w:spacing w:before="20" w:after="20" w:line="240" w:lineRule="auto"/>
              <w:jc w:val="left"/>
            </w:pPr>
            <w:r>
              <w:rPr>
                <w:rFonts w:ascii="宋体" w:hAnsi="宋体" w:eastAsia="宋体" w:cs="宋体"/>
                <w:b w:val="0"/>
                <w:sz w:val="18"/>
              </w:rPr>
              <w:t>2路</w:t>
            </w:r>
          </w:p>
        </w:tc>
        <w:tc>
          <w:tcPr>
            <w:tcW w:w="1020" w:type="dxa"/>
            <w:shd w:val="clear" w:color="auto" w:fill="F5F5F5"/>
          </w:tcPr>
          <w:p w14:paraId="3901CE19">
            <w:pPr>
              <w:spacing w:before="20" w:after="20" w:line="240" w:lineRule="auto"/>
              <w:jc w:val="center"/>
            </w:pPr>
            <w:r>
              <w:rPr>
                <w:rFonts w:ascii="宋体" w:hAnsi="宋体" w:eastAsia="宋体" w:cs="宋体"/>
                <w:b w:val="0"/>
                <w:sz w:val="18"/>
              </w:rPr>
              <w:t>6.2</w:t>
            </w:r>
          </w:p>
        </w:tc>
        <w:tc>
          <w:tcPr>
            <w:tcW w:w="907" w:type="dxa"/>
            <w:shd w:val="clear" w:color="auto" w:fill="F5F5F5"/>
          </w:tcPr>
          <w:p w14:paraId="335F5215">
            <w:pPr>
              <w:spacing w:before="20" w:after="20" w:line="240" w:lineRule="auto"/>
              <w:jc w:val="center"/>
            </w:pPr>
            <w:r>
              <w:rPr>
                <w:rFonts w:ascii="宋体" w:hAnsi="宋体" w:eastAsia="宋体" w:cs="宋体"/>
                <w:b w:val="0"/>
                <w:sz w:val="18"/>
              </w:rPr>
              <w:t>7.8</w:t>
            </w:r>
          </w:p>
        </w:tc>
        <w:tc>
          <w:tcPr>
            <w:tcW w:w="850" w:type="dxa"/>
            <w:shd w:val="clear" w:color="auto" w:fill="F5F5F5"/>
          </w:tcPr>
          <w:p w14:paraId="1033F884">
            <w:pPr>
              <w:spacing w:before="20" w:after="20" w:line="240" w:lineRule="auto"/>
              <w:jc w:val="center"/>
            </w:pPr>
            <w:r>
              <w:rPr>
                <w:rFonts w:ascii="宋体" w:hAnsi="宋体" w:eastAsia="宋体" w:cs="宋体"/>
                <w:b w:val="0"/>
                <w:sz w:val="18"/>
              </w:rPr>
              <w:t>0</w:t>
            </w:r>
          </w:p>
        </w:tc>
        <w:tc>
          <w:tcPr>
            <w:tcW w:w="907" w:type="dxa"/>
            <w:shd w:val="clear" w:color="auto" w:fill="F5F5F5"/>
          </w:tcPr>
          <w:p w14:paraId="2887F174">
            <w:pPr>
              <w:spacing w:before="20" w:after="20" w:line="240" w:lineRule="auto"/>
              <w:jc w:val="center"/>
            </w:pPr>
            <w:r>
              <w:rPr>
                <w:rFonts w:ascii="宋体" w:hAnsi="宋体" w:eastAsia="宋体" w:cs="宋体"/>
                <w:b w:val="0"/>
                <w:sz w:val="18"/>
              </w:rPr>
              <w:t>56</w:t>
            </w:r>
          </w:p>
        </w:tc>
        <w:tc>
          <w:tcPr>
            <w:tcW w:w="907" w:type="dxa"/>
            <w:shd w:val="clear" w:color="auto" w:fill="F5F5F5"/>
          </w:tcPr>
          <w:p w14:paraId="223DF19D">
            <w:pPr>
              <w:spacing w:before="20" w:after="20" w:line="240" w:lineRule="auto"/>
              <w:jc w:val="center"/>
            </w:pPr>
            <w:r>
              <w:rPr>
                <w:rFonts w:ascii="宋体" w:hAnsi="宋体" w:eastAsia="宋体" w:cs="宋体"/>
                <w:b w:val="0"/>
                <w:sz w:val="18"/>
              </w:rPr>
              <w:t>7.5</w:t>
            </w:r>
          </w:p>
        </w:tc>
        <w:tc>
          <w:tcPr>
            <w:tcW w:w="907" w:type="dxa"/>
            <w:shd w:val="clear" w:color="auto" w:fill="F5F5F5"/>
          </w:tcPr>
          <w:p w14:paraId="0DD97722">
            <w:pPr>
              <w:spacing w:before="20" w:after="20" w:line="240" w:lineRule="auto"/>
              <w:jc w:val="center"/>
            </w:pPr>
            <w:r>
              <w:rPr>
                <w:rFonts w:ascii="宋体" w:hAnsi="宋体" w:eastAsia="宋体" w:cs="宋体"/>
                <w:b w:val="0"/>
                <w:sz w:val="18"/>
              </w:rPr>
              <w:t>35</w:t>
            </w:r>
          </w:p>
        </w:tc>
      </w:tr>
      <w:tr w14:paraId="41F687D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020" w:type="dxa"/>
          </w:tcPr>
          <w:p w14:paraId="2E7A00B5">
            <w:pPr>
              <w:spacing w:before="20" w:after="20" w:line="240" w:lineRule="auto"/>
              <w:jc w:val="left"/>
            </w:pPr>
            <w:r>
              <w:rPr>
                <w:rFonts w:ascii="宋体" w:hAnsi="宋体" w:eastAsia="宋体" w:cs="宋体"/>
                <w:b w:val="0"/>
                <w:sz w:val="18"/>
              </w:rPr>
              <w:t>4路</w:t>
            </w:r>
          </w:p>
        </w:tc>
        <w:tc>
          <w:tcPr>
            <w:tcW w:w="1020" w:type="dxa"/>
          </w:tcPr>
          <w:p w14:paraId="65DC0219">
            <w:pPr>
              <w:spacing w:before="20" w:after="20" w:line="240" w:lineRule="auto"/>
              <w:jc w:val="center"/>
            </w:pPr>
            <w:r>
              <w:rPr>
                <w:rFonts w:ascii="宋体" w:hAnsi="宋体" w:eastAsia="宋体" w:cs="宋体"/>
                <w:b w:val="0"/>
                <w:sz w:val="18"/>
              </w:rPr>
              <w:t>10.8</w:t>
            </w:r>
          </w:p>
        </w:tc>
        <w:tc>
          <w:tcPr>
            <w:tcW w:w="907" w:type="dxa"/>
          </w:tcPr>
          <w:p w14:paraId="1FF8702E">
            <w:pPr>
              <w:spacing w:before="20" w:after="20" w:line="240" w:lineRule="auto"/>
              <w:jc w:val="center"/>
            </w:pPr>
            <w:r>
              <w:rPr>
                <w:rFonts w:ascii="宋体" w:hAnsi="宋体" w:eastAsia="宋体" w:cs="宋体"/>
                <w:b w:val="0"/>
                <w:sz w:val="18"/>
              </w:rPr>
              <w:t>14.2</w:t>
            </w:r>
          </w:p>
        </w:tc>
        <w:tc>
          <w:tcPr>
            <w:tcW w:w="850" w:type="dxa"/>
          </w:tcPr>
          <w:p w14:paraId="3422E04B">
            <w:pPr>
              <w:spacing w:before="20" w:after="20" w:line="240" w:lineRule="auto"/>
              <w:jc w:val="center"/>
            </w:pPr>
            <w:r>
              <w:rPr>
                <w:rFonts w:ascii="宋体" w:hAnsi="宋体" w:eastAsia="宋体" w:cs="宋体"/>
                <w:b w:val="0"/>
                <w:sz w:val="18"/>
              </w:rPr>
              <w:t>0</w:t>
            </w:r>
          </w:p>
        </w:tc>
        <w:tc>
          <w:tcPr>
            <w:tcW w:w="907" w:type="dxa"/>
          </w:tcPr>
          <w:p w14:paraId="1A46382F">
            <w:pPr>
              <w:spacing w:before="20" w:after="20" w:line="240" w:lineRule="auto"/>
              <w:jc w:val="center"/>
            </w:pPr>
            <w:r>
              <w:rPr>
                <w:rFonts w:ascii="宋体" w:hAnsi="宋体" w:eastAsia="宋体" w:cs="宋体"/>
                <w:b w:val="0"/>
                <w:sz w:val="18"/>
              </w:rPr>
              <w:t>52</w:t>
            </w:r>
          </w:p>
        </w:tc>
        <w:tc>
          <w:tcPr>
            <w:tcW w:w="907" w:type="dxa"/>
          </w:tcPr>
          <w:p w14:paraId="33021AF6">
            <w:pPr>
              <w:spacing w:before="20" w:after="20" w:line="240" w:lineRule="auto"/>
              <w:jc w:val="center"/>
            </w:pPr>
            <w:r>
              <w:rPr>
                <w:rFonts w:ascii="宋体" w:hAnsi="宋体" w:eastAsia="宋体" w:cs="宋体"/>
                <w:b w:val="0"/>
                <w:sz w:val="18"/>
              </w:rPr>
              <w:t>9.1</w:t>
            </w:r>
          </w:p>
        </w:tc>
        <w:tc>
          <w:tcPr>
            <w:tcW w:w="907" w:type="dxa"/>
          </w:tcPr>
          <w:p w14:paraId="2AC9C121">
            <w:pPr>
              <w:spacing w:before="20" w:after="20" w:line="240" w:lineRule="auto"/>
              <w:jc w:val="center"/>
            </w:pPr>
            <w:r>
              <w:rPr>
                <w:rFonts w:ascii="宋体" w:hAnsi="宋体" w:eastAsia="宋体" w:cs="宋体"/>
                <w:b w:val="0"/>
                <w:sz w:val="18"/>
              </w:rPr>
              <w:t>58</w:t>
            </w:r>
          </w:p>
        </w:tc>
      </w:tr>
    </w:tbl>
    <w:p w14:paraId="76A657F6">
      <w:pPr>
        <w:spacing w:before="0" w:after="0" w:line="276" w:lineRule="auto"/>
        <w:ind w:firstLine="420"/>
        <w:jc w:val="both"/>
      </w:pPr>
      <w:r>
        <w:rPr>
          <w:rFonts w:ascii="宋体" w:hAnsi="宋体" w:eastAsia="宋体" w:cs="宋体"/>
          <w:b w:val="0"/>
          <w:sz w:val="24"/>
        </w:rPr>
        <w:t>4路并发时P99升至14.2s但零丢失，瓶颈在LLM串行推理队列。后续可引入A级优先调度与多GPU并行优化。</w:t>
      </w:r>
    </w:p>
    <w:p w14:paraId="6DC326FF">
      <w:pPr>
        <w:spacing w:before="0" w:after="0" w:line="276" w:lineRule="auto"/>
        <w:ind w:firstLine="0"/>
        <w:jc w:val="both"/>
      </w:pPr>
    </w:p>
    <w:p w14:paraId="637BD27A">
      <w:pPr>
        <w:spacing w:before="0" w:after="0" w:line="276" w:lineRule="auto"/>
        <w:ind w:firstLine="0"/>
        <w:jc w:val="center"/>
      </w:pPr>
      <w:r>
        <w:rPr>
          <w:rFonts w:ascii="宋体" w:hAnsi="宋体" w:eastAsia="宋体" w:cs="宋体"/>
          <w:b w:val="0"/>
          <w:sz w:val="21"/>
        </w:rPr>
        <w:t>【图5-5 请在此处插入图片】72小时稳定性趋势图（内存/显存/数据库体积/成功率四条折线）</w:t>
      </w:r>
    </w:p>
    <w:p w14:paraId="21BDE270">
      <w:pPr>
        <w:spacing w:before="0" w:after="0" w:line="276" w:lineRule="auto"/>
        <w:ind w:firstLine="0"/>
        <w:jc w:val="both"/>
      </w:pPr>
    </w:p>
    <w:p w14:paraId="6FB0AAFC">
      <w:pPr>
        <w:spacing w:before="0" w:after="0" w:line="276" w:lineRule="auto"/>
        <w:ind w:firstLine="0"/>
        <w:jc w:val="both"/>
      </w:pPr>
      <w:r>
        <w:rPr>
          <w:rFonts w:ascii="黑体" w:hAnsi="黑体" w:eastAsia="黑体" w:cs="黑体"/>
          <w:b w:val="0"/>
          <w:sz w:val="24"/>
        </w:rPr>
        <w:t>5.2.4 人机协同审批响应测试</w:t>
      </w:r>
    </w:p>
    <w:p w14:paraId="642C7611">
      <w:pPr>
        <w:spacing w:before="0" w:after="0" w:line="276" w:lineRule="auto"/>
        <w:ind w:firstLine="420"/>
        <w:jc w:val="both"/>
      </w:pPr>
      <w:r>
        <w:rPr>
          <w:rFonts w:ascii="宋体" w:hAnsi="宋体" w:eastAsia="宋体" w:cs="宋体"/>
          <w:b w:val="0"/>
          <w:sz w:val="24"/>
        </w:rPr>
        <w:t>对20次A级审批流程进行端到端计时，各阶段统计如表5-8所示。</w:t>
      </w:r>
    </w:p>
    <w:p w14:paraId="0F049F46">
      <w:pPr>
        <w:spacing w:before="0" w:after="40" w:line="276" w:lineRule="auto"/>
        <w:ind w:firstLine="0"/>
        <w:jc w:val="center"/>
      </w:pPr>
      <w:r>
        <w:rPr>
          <w:rFonts w:ascii="宋体" w:hAnsi="宋体" w:eastAsia="宋体" w:cs="宋体"/>
          <w:b/>
          <w:sz w:val="21"/>
        </w:rPr>
        <w:t>表5-8 人机协同审批各阶段耗时统计</w:t>
      </w:r>
    </w:p>
    <w:tbl>
      <w:tblPr>
        <w:tblStyle w:val="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984"/>
        <w:gridCol w:w="1020"/>
        <w:gridCol w:w="1020"/>
        <w:gridCol w:w="1020"/>
        <w:gridCol w:w="1020"/>
      </w:tblGrid>
      <w:tr w14:paraId="54959BE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984" w:type="dxa"/>
            <w:shd w:val="clear" w:color="auto" w:fill="D9E2F3"/>
          </w:tcPr>
          <w:p w14:paraId="3DFC6A05">
            <w:pPr>
              <w:spacing w:before="20" w:after="20" w:line="240" w:lineRule="auto"/>
              <w:jc w:val="center"/>
            </w:pPr>
            <w:r>
              <w:rPr>
                <w:rFonts w:ascii="黑体" w:hAnsi="黑体" w:eastAsia="黑体" w:cs="黑体"/>
                <w:b/>
                <w:sz w:val="18"/>
              </w:rPr>
              <w:t>阶段</w:t>
            </w:r>
          </w:p>
        </w:tc>
        <w:tc>
          <w:tcPr>
            <w:tcW w:w="1020" w:type="dxa"/>
            <w:shd w:val="clear" w:color="auto" w:fill="D9E2F3"/>
          </w:tcPr>
          <w:p w14:paraId="0040FAD8">
            <w:pPr>
              <w:spacing w:before="20" w:after="20" w:line="240" w:lineRule="auto"/>
              <w:jc w:val="center"/>
            </w:pPr>
            <w:r>
              <w:rPr>
                <w:rFonts w:ascii="黑体" w:hAnsi="黑体" w:eastAsia="黑体" w:cs="黑体"/>
                <w:b/>
                <w:sz w:val="18"/>
              </w:rPr>
              <w:t>平均</w:t>
            </w:r>
          </w:p>
        </w:tc>
        <w:tc>
          <w:tcPr>
            <w:tcW w:w="1020" w:type="dxa"/>
            <w:shd w:val="clear" w:color="auto" w:fill="D9E2F3"/>
          </w:tcPr>
          <w:p w14:paraId="54F3E7F0">
            <w:pPr>
              <w:spacing w:before="20" w:after="20" w:line="240" w:lineRule="auto"/>
              <w:jc w:val="center"/>
            </w:pPr>
            <w:r>
              <w:rPr>
                <w:rFonts w:ascii="黑体" w:hAnsi="黑体" w:eastAsia="黑体" w:cs="黑体"/>
                <w:b/>
                <w:sz w:val="18"/>
              </w:rPr>
              <w:t>最小</w:t>
            </w:r>
          </w:p>
        </w:tc>
        <w:tc>
          <w:tcPr>
            <w:tcW w:w="1020" w:type="dxa"/>
            <w:shd w:val="clear" w:color="auto" w:fill="D9E2F3"/>
          </w:tcPr>
          <w:p w14:paraId="18C22714">
            <w:pPr>
              <w:spacing w:before="20" w:after="20" w:line="240" w:lineRule="auto"/>
              <w:jc w:val="center"/>
            </w:pPr>
            <w:r>
              <w:rPr>
                <w:rFonts w:ascii="黑体" w:hAnsi="黑体" w:eastAsia="黑体" w:cs="黑体"/>
                <w:b/>
                <w:sz w:val="18"/>
              </w:rPr>
              <w:t>最大</w:t>
            </w:r>
          </w:p>
        </w:tc>
        <w:tc>
          <w:tcPr>
            <w:tcW w:w="1020" w:type="dxa"/>
            <w:shd w:val="clear" w:color="auto" w:fill="D9E2F3"/>
          </w:tcPr>
          <w:p w14:paraId="1F21525C">
            <w:pPr>
              <w:spacing w:before="20" w:after="20" w:line="240" w:lineRule="auto"/>
              <w:jc w:val="center"/>
            </w:pPr>
            <w:r>
              <w:rPr>
                <w:rFonts w:ascii="黑体" w:hAnsi="黑体" w:eastAsia="黑体" w:cs="黑体"/>
                <w:b/>
                <w:sz w:val="18"/>
              </w:rPr>
              <w:t>阈值</w:t>
            </w:r>
          </w:p>
        </w:tc>
      </w:tr>
      <w:tr w14:paraId="5BA25AB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984" w:type="dxa"/>
          </w:tcPr>
          <w:p w14:paraId="7AB7FD3E">
            <w:pPr>
              <w:spacing w:before="20" w:after="20" w:line="240" w:lineRule="auto"/>
              <w:jc w:val="left"/>
            </w:pPr>
            <w:r>
              <w:rPr>
                <w:rFonts w:ascii="宋体" w:hAnsi="宋体" w:eastAsia="宋体" w:cs="宋体"/>
                <w:b w:val="0"/>
                <w:sz w:val="18"/>
              </w:rPr>
              <w:t>审批卡片弹出 (ms)</w:t>
            </w:r>
          </w:p>
        </w:tc>
        <w:tc>
          <w:tcPr>
            <w:tcW w:w="1020" w:type="dxa"/>
          </w:tcPr>
          <w:p w14:paraId="021E0628">
            <w:pPr>
              <w:spacing w:before="20" w:after="20" w:line="240" w:lineRule="auto"/>
              <w:jc w:val="center"/>
            </w:pPr>
            <w:r>
              <w:rPr>
                <w:rFonts w:ascii="宋体" w:hAnsi="宋体" w:eastAsia="宋体" w:cs="宋体"/>
                <w:b w:val="0"/>
                <w:sz w:val="18"/>
              </w:rPr>
              <w:t>280</w:t>
            </w:r>
          </w:p>
        </w:tc>
        <w:tc>
          <w:tcPr>
            <w:tcW w:w="1020" w:type="dxa"/>
          </w:tcPr>
          <w:p w14:paraId="43B56970">
            <w:pPr>
              <w:spacing w:before="20" w:after="20" w:line="240" w:lineRule="auto"/>
              <w:jc w:val="center"/>
            </w:pPr>
            <w:r>
              <w:rPr>
                <w:rFonts w:ascii="宋体" w:hAnsi="宋体" w:eastAsia="宋体" w:cs="宋体"/>
                <w:b w:val="0"/>
                <w:sz w:val="18"/>
              </w:rPr>
              <w:t>210</w:t>
            </w:r>
          </w:p>
        </w:tc>
        <w:tc>
          <w:tcPr>
            <w:tcW w:w="1020" w:type="dxa"/>
          </w:tcPr>
          <w:p w14:paraId="5A1B83BF">
            <w:pPr>
              <w:spacing w:before="20" w:after="20" w:line="240" w:lineRule="auto"/>
              <w:jc w:val="center"/>
            </w:pPr>
            <w:r>
              <w:rPr>
                <w:rFonts w:ascii="宋体" w:hAnsi="宋体" w:eastAsia="宋体" w:cs="宋体"/>
                <w:b w:val="0"/>
                <w:sz w:val="18"/>
              </w:rPr>
              <w:t>420</w:t>
            </w:r>
          </w:p>
        </w:tc>
        <w:tc>
          <w:tcPr>
            <w:tcW w:w="1020" w:type="dxa"/>
          </w:tcPr>
          <w:p w14:paraId="3E46F5B2">
            <w:pPr>
              <w:spacing w:before="20" w:after="20" w:line="240" w:lineRule="auto"/>
              <w:jc w:val="center"/>
            </w:pPr>
            <w:r>
              <w:rPr>
                <w:rFonts w:ascii="宋体" w:hAnsi="宋体" w:eastAsia="宋体" w:cs="宋体"/>
                <w:b w:val="0"/>
                <w:sz w:val="18"/>
              </w:rPr>
              <w:t>&lt;500ms</w:t>
            </w:r>
          </w:p>
        </w:tc>
      </w:tr>
      <w:tr w14:paraId="238B70D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984" w:type="dxa"/>
            <w:shd w:val="clear" w:color="auto" w:fill="F5F5F5"/>
          </w:tcPr>
          <w:p w14:paraId="415F65C4">
            <w:pPr>
              <w:spacing w:before="20" w:after="20" w:line="240" w:lineRule="auto"/>
              <w:jc w:val="left"/>
            </w:pPr>
            <w:r>
              <w:rPr>
                <w:rFonts w:ascii="宋体" w:hAnsi="宋体" w:eastAsia="宋体" w:cs="宋体"/>
                <w:b w:val="0"/>
                <w:sz w:val="18"/>
              </w:rPr>
              <w:t>钉钉紧急推送到达 (s)</w:t>
            </w:r>
          </w:p>
        </w:tc>
        <w:tc>
          <w:tcPr>
            <w:tcW w:w="1020" w:type="dxa"/>
            <w:shd w:val="clear" w:color="auto" w:fill="F5F5F5"/>
          </w:tcPr>
          <w:p w14:paraId="08FC9117">
            <w:pPr>
              <w:spacing w:before="20" w:after="20" w:line="240" w:lineRule="auto"/>
              <w:jc w:val="center"/>
            </w:pPr>
            <w:r>
              <w:rPr>
                <w:rFonts w:ascii="宋体" w:hAnsi="宋体" w:eastAsia="宋体" w:cs="宋体"/>
                <w:b w:val="0"/>
                <w:sz w:val="18"/>
              </w:rPr>
              <w:t>1.8</w:t>
            </w:r>
          </w:p>
        </w:tc>
        <w:tc>
          <w:tcPr>
            <w:tcW w:w="1020" w:type="dxa"/>
            <w:shd w:val="clear" w:color="auto" w:fill="F5F5F5"/>
          </w:tcPr>
          <w:p w14:paraId="0AFF9201">
            <w:pPr>
              <w:spacing w:before="20" w:after="20" w:line="240" w:lineRule="auto"/>
              <w:jc w:val="center"/>
            </w:pPr>
            <w:r>
              <w:rPr>
                <w:rFonts w:ascii="宋体" w:hAnsi="宋体" w:eastAsia="宋体" w:cs="宋体"/>
                <w:b w:val="0"/>
                <w:sz w:val="18"/>
              </w:rPr>
              <w:t>0.9</w:t>
            </w:r>
          </w:p>
        </w:tc>
        <w:tc>
          <w:tcPr>
            <w:tcW w:w="1020" w:type="dxa"/>
            <w:shd w:val="clear" w:color="auto" w:fill="F5F5F5"/>
          </w:tcPr>
          <w:p w14:paraId="349641DD">
            <w:pPr>
              <w:spacing w:before="20" w:after="20" w:line="240" w:lineRule="auto"/>
              <w:jc w:val="center"/>
            </w:pPr>
            <w:r>
              <w:rPr>
                <w:rFonts w:ascii="宋体" w:hAnsi="宋体" w:eastAsia="宋体" w:cs="宋体"/>
                <w:b w:val="0"/>
                <w:sz w:val="18"/>
              </w:rPr>
              <w:t>3.2</w:t>
            </w:r>
          </w:p>
        </w:tc>
        <w:tc>
          <w:tcPr>
            <w:tcW w:w="1020" w:type="dxa"/>
            <w:shd w:val="clear" w:color="auto" w:fill="F5F5F5"/>
          </w:tcPr>
          <w:p w14:paraId="080889C1">
            <w:pPr>
              <w:spacing w:before="20" w:after="20" w:line="240" w:lineRule="auto"/>
              <w:jc w:val="center"/>
            </w:pPr>
            <w:r>
              <w:rPr>
                <w:rFonts w:ascii="宋体" w:hAnsi="宋体" w:eastAsia="宋体" w:cs="宋体"/>
                <w:b w:val="0"/>
                <w:sz w:val="18"/>
              </w:rPr>
              <w:t>&lt;5s</w:t>
            </w:r>
          </w:p>
        </w:tc>
      </w:tr>
      <w:tr w14:paraId="00AF7E8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984" w:type="dxa"/>
          </w:tcPr>
          <w:p w14:paraId="7B952F92">
            <w:pPr>
              <w:spacing w:before="20" w:after="20" w:line="240" w:lineRule="auto"/>
              <w:jc w:val="left"/>
            </w:pPr>
            <w:r>
              <w:rPr>
                <w:rFonts w:ascii="宋体" w:hAnsi="宋体" w:eastAsia="宋体" w:cs="宋体"/>
                <w:b w:val="0"/>
                <w:sz w:val="18"/>
              </w:rPr>
              <w:t>安全员查看决策 (s)</w:t>
            </w:r>
          </w:p>
        </w:tc>
        <w:tc>
          <w:tcPr>
            <w:tcW w:w="1020" w:type="dxa"/>
          </w:tcPr>
          <w:p w14:paraId="0B0DF289">
            <w:pPr>
              <w:spacing w:before="20" w:after="20" w:line="240" w:lineRule="auto"/>
              <w:jc w:val="center"/>
            </w:pPr>
            <w:r>
              <w:rPr>
                <w:rFonts w:ascii="宋体" w:hAnsi="宋体" w:eastAsia="宋体" w:cs="宋体"/>
                <w:b w:val="0"/>
                <w:sz w:val="18"/>
              </w:rPr>
              <w:t>18.5</w:t>
            </w:r>
          </w:p>
        </w:tc>
        <w:tc>
          <w:tcPr>
            <w:tcW w:w="1020" w:type="dxa"/>
          </w:tcPr>
          <w:p w14:paraId="218CA21A">
            <w:pPr>
              <w:spacing w:before="20" w:after="20" w:line="240" w:lineRule="auto"/>
              <w:jc w:val="center"/>
            </w:pPr>
            <w:r>
              <w:rPr>
                <w:rFonts w:ascii="宋体" w:hAnsi="宋体" w:eastAsia="宋体" w:cs="宋体"/>
                <w:b w:val="0"/>
                <w:sz w:val="18"/>
              </w:rPr>
              <w:t>8.2</w:t>
            </w:r>
          </w:p>
        </w:tc>
        <w:tc>
          <w:tcPr>
            <w:tcW w:w="1020" w:type="dxa"/>
          </w:tcPr>
          <w:p w14:paraId="3082C637">
            <w:pPr>
              <w:spacing w:before="20" w:after="20" w:line="240" w:lineRule="auto"/>
              <w:jc w:val="center"/>
            </w:pPr>
            <w:r>
              <w:rPr>
                <w:rFonts w:ascii="宋体" w:hAnsi="宋体" w:eastAsia="宋体" w:cs="宋体"/>
                <w:b w:val="0"/>
                <w:sz w:val="18"/>
              </w:rPr>
              <w:t>35.7</w:t>
            </w:r>
          </w:p>
        </w:tc>
        <w:tc>
          <w:tcPr>
            <w:tcW w:w="1020" w:type="dxa"/>
          </w:tcPr>
          <w:p w14:paraId="6F6E4F83">
            <w:pPr>
              <w:spacing w:before="20" w:after="20" w:line="240" w:lineRule="auto"/>
              <w:jc w:val="center"/>
            </w:pPr>
            <w:r>
              <w:rPr>
                <w:rFonts w:ascii="宋体" w:hAnsi="宋体" w:eastAsia="宋体" w:cs="宋体"/>
                <w:b w:val="0"/>
                <w:sz w:val="18"/>
              </w:rPr>
              <w:t>&lt;5min</w:t>
            </w:r>
          </w:p>
        </w:tc>
      </w:tr>
      <w:tr w14:paraId="46CFF07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984" w:type="dxa"/>
            <w:shd w:val="clear" w:color="auto" w:fill="F5F5F5"/>
          </w:tcPr>
          <w:p w14:paraId="639BF884">
            <w:pPr>
              <w:spacing w:before="20" w:after="20" w:line="240" w:lineRule="auto"/>
              <w:jc w:val="left"/>
            </w:pPr>
            <w:r>
              <w:rPr>
                <w:rFonts w:ascii="宋体" w:hAnsi="宋体" w:eastAsia="宋体" w:cs="宋体"/>
                <w:b w:val="0"/>
                <w:sz w:val="18"/>
              </w:rPr>
              <w:t>审批结果回传执行 (ms)</w:t>
            </w:r>
          </w:p>
        </w:tc>
        <w:tc>
          <w:tcPr>
            <w:tcW w:w="1020" w:type="dxa"/>
            <w:shd w:val="clear" w:color="auto" w:fill="F5F5F5"/>
          </w:tcPr>
          <w:p w14:paraId="0A53A8E2">
            <w:pPr>
              <w:spacing w:before="20" w:after="20" w:line="240" w:lineRule="auto"/>
              <w:jc w:val="center"/>
            </w:pPr>
            <w:r>
              <w:rPr>
                <w:rFonts w:ascii="宋体" w:hAnsi="宋体" w:eastAsia="宋体" w:cs="宋体"/>
                <w:b w:val="0"/>
                <w:sz w:val="18"/>
              </w:rPr>
              <w:t>150</w:t>
            </w:r>
          </w:p>
        </w:tc>
        <w:tc>
          <w:tcPr>
            <w:tcW w:w="1020" w:type="dxa"/>
            <w:shd w:val="clear" w:color="auto" w:fill="F5F5F5"/>
          </w:tcPr>
          <w:p w14:paraId="4711F428">
            <w:pPr>
              <w:spacing w:before="20" w:after="20" w:line="240" w:lineRule="auto"/>
              <w:jc w:val="center"/>
            </w:pPr>
            <w:r>
              <w:rPr>
                <w:rFonts w:ascii="宋体" w:hAnsi="宋体" w:eastAsia="宋体" w:cs="宋体"/>
                <w:b w:val="0"/>
                <w:sz w:val="18"/>
              </w:rPr>
              <w:t>95</w:t>
            </w:r>
          </w:p>
        </w:tc>
        <w:tc>
          <w:tcPr>
            <w:tcW w:w="1020" w:type="dxa"/>
            <w:shd w:val="clear" w:color="auto" w:fill="F5F5F5"/>
          </w:tcPr>
          <w:p w14:paraId="23BD138E">
            <w:pPr>
              <w:spacing w:before="20" w:after="20" w:line="240" w:lineRule="auto"/>
              <w:jc w:val="center"/>
            </w:pPr>
            <w:r>
              <w:rPr>
                <w:rFonts w:ascii="宋体" w:hAnsi="宋体" w:eastAsia="宋体" w:cs="宋体"/>
                <w:b w:val="0"/>
                <w:sz w:val="18"/>
              </w:rPr>
              <w:t>280</w:t>
            </w:r>
          </w:p>
        </w:tc>
        <w:tc>
          <w:tcPr>
            <w:tcW w:w="1020" w:type="dxa"/>
            <w:shd w:val="clear" w:color="auto" w:fill="F5F5F5"/>
          </w:tcPr>
          <w:p w14:paraId="31C136E3">
            <w:pPr>
              <w:spacing w:before="20" w:after="20" w:line="240" w:lineRule="auto"/>
              <w:jc w:val="center"/>
            </w:pPr>
            <w:r>
              <w:rPr>
                <w:rFonts w:ascii="宋体" w:hAnsi="宋体" w:eastAsia="宋体" w:cs="宋体"/>
                <w:b w:val="0"/>
                <w:sz w:val="18"/>
              </w:rPr>
              <w:t>&lt;500ms</w:t>
            </w:r>
          </w:p>
        </w:tc>
      </w:tr>
      <w:tr w14:paraId="1A87376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984" w:type="dxa"/>
          </w:tcPr>
          <w:p w14:paraId="0806C666">
            <w:pPr>
              <w:spacing w:before="20" w:after="20" w:line="240" w:lineRule="auto"/>
              <w:jc w:val="left"/>
            </w:pPr>
            <w:r>
              <w:rPr>
                <w:rFonts w:ascii="宋体" w:hAnsi="宋体" w:eastAsia="宋体" w:cs="宋体"/>
                <w:b/>
                <w:sz w:val="18"/>
              </w:rPr>
              <w:t>端到端审批闭环 (s)</w:t>
            </w:r>
          </w:p>
        </w:tc>
        <w:tc>
          <w:tcPr>
            <w:tcW w:w="1020" w:type="dxa"/>
          </w:tcPr>
          <w:p w14:paraId="0F35C63B">
            <w:pPr>
              <w:spacing w:before="20" w:after="20" w:line="240" w:lineRule="auto"/>
              <w:jc w:val="center"/>
            </w:pPr>
            <w:r>
              <w:rPr>
                <w:rFonts w:ascii="宋体" w:hAnsi="宋体" w:eastAsia="宋体" w:cs="宋体"/>
                <w:b w:val="0"/>
                <w:sz w:val="18"/>
              </w:rPr>
              <w:t>20.7</w:t>
            </w:r>
          </w:p>
        </w:tc>
        <w:tc>
          <w:tcPr>
            <w:tcW w:w="1020" w:type="dxa"/>
          </w:tcPr>
          <w:p w14:paraId="0BC46FE1">
            <w:pPr>
              <w:spacing w:before="20" w:after="20" w:line="240" w:lineRule="auto"/>
              <w:jc w:val="center"/>
            </w:pPr>
            <w:r>
              <w:rPr>
                <w:rFonts w:ascii="宋体" w:hAnsi="宋体" w:eastAsia="宋体" w:cs="宋体"/>
                <w:b w:val="0"/>
                <w:sz w:val="18"/>
              </w:rPr>
              <w:t>10.3</w:t>
            </w:r>
          </w:p>
        </w:tc>
        <w:tc>
          <w:tcPr>
            <w:tcW w:w="1020" w:type="dxa"/>
          </w:tcPr>
          <w:p w14:paraId="7D8E9952">
            <w:pPr>
              <w:spacing w:before="20" w:after="20" w:line="240" w:lineRule="auto"/>
              <w:jc w:val="center"/>
            </w:pPr>
            <w:r>
              <w:rPr>
                <w:rFonts w:ascii="宋体" w:hAnsi="宋体" w:eastAsia="宋体" w:cs="宋体"/>
                <w:b w:val="0"/>
                <w:sz w:val="18"/>
              </w:rPr>
              <w:t>38.6</w:t>
            </w:r>
          </w:p>
        </w:tc>
        <w:tc>
          <w:tcPr>
            <w:tcW w:w="1020" w:type="dxa"/>
          </w:tcPr>
          <w:p w14:paraId="0A453919">
            <w:pPr>
              <w:spacing w:before="20" w:after="20" w:line="240" w:lineRule="auto"/>
              <w:jc w:val="center"/>
            </w:pPr>
            <w:r>
              <w:rPr>
                <w:rFonts w:ascii="宋体" w:hAnsi="宋体" w:eastAsia="宋体" w:cs="宋体"/>
                <w:b w:val="0"/>
                <w:sz w:val="18"/>
              </w:rPr>
              <w:t>—</w:t>
            </w:r>
          </w:p>
        </w:tc>
      </w:tr>
    </w:tbl>
    <w:p w14:paraId="5CC788B6">
      <w:pPr>
        <w:spacing w:before="0" w:after="0" w:line="276" w:lineRule="auto"/>
        <w:ind w:firstLine="420"/>
        <w:jc w:val="both"/>
      </w:pPr>
      <w:r>
        <w:rPr>
          <w:rFonts w:ascii="宋体" w:hAnsi="宋体" w:eastAsia="宋体" w:cs="宋体"/>
          <w:b w:val="0"/>
          <w:sz w:val="24"/>
        </w:rPr>
        <w:t>20次测试零超时，安全员平均决策18.5s。5分钟超时阈值在保障时效的同时留有充足余量。</w:t>
      </w:r>
    </w:p>
    <w:p w14:paraId="1C649E3B">
      <w:pPr>
        <w:spacing w:before="0" w:after="0" w:line="276" w:lineRule="auto"/>
        <w:ind w:firstLine="0"/>
        <w:jc w:val="both"/>
      </w:pPr>
    </w:p>
    <w:p w14:paraId="4CC2F5DC">
      <w:pPr>
        <w:spacing w:before="0" w:after="0" w:line="276" w:lineRule="auto"/>
        <w:ind w:firstLine="0"/>
        <w:jc w:val="center"/>
      </w:pPr>
      <w:r>
        <w:rPr>
          <w:rFonts w:ascii="宋体" w:hAnsi="宋体" w:eastAsia="宋体" w:cs="宋体"/>
          <w:b w:val="0"/>
          <w:sz w:val="21"/>
        </w:rPr>
        <w:t>【图5-6 请在此处插入图片】人机协同审批各阶段耗时分布箱线图（20次样本）</w:t>
      </w:r>
    </w:p>
    <w:p w14:paraId="0C115021">
      <w:pPr>
        <w:spacing w:before="0" w:after="0" w:line="276" w:lineRule="auto"/>
        <w:ind w:firstLine="0"/>
        <w:jc w:val="both"/>
      </w:pPr>
    </w:p>
    <w:p w14:paraId="361FB882">
      <w:pPr>
        <w:spacing w:before="0" w:after="0" w:line="276" w:lineRule="auto"/>
        <w:ind w:firstLine="420"/>
        <w:jc w:val="both"/>
      </w:pPr>
      <w:r>
        <w:rPr>
          <w:rFonts w:ascii="宋体" w:hAnsi="宋体" w:eastAsia="宋体" w:cs="宋体"/>
          <w:b w:val="0"/>
          <w:sz w:val="24"/>
        </w:rPr>
        <w:t>综合测试结果表明：边缘检测模块在INT8量化后实现75ms推理与85.5% mAP的较优平衡；Qwen2.5-VL 7B本地部署方案在分析质量上接近GPT-4V水平，且具备离线可用与零成本的工程优势；系统全链路平均延迟4.5s，25项功能测试全部通过，72小时运行零故障，满足设计指标。系统已具备在实际工厂环境中部署试运行的条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7C407F"/>
    <w:multiLevelType w:val="singleLevel"/>
    <w:tmpl w:val="897C407F"/>
    <w:lvl w:ilvl="0" w:tentative="0">
      <w:start w:val="1"/>
      <w:numFmt w:val="decimal"/>
      <w:suff w:val="space"/>
      <w:lvlText w:val="%1."/>
      <w:lvlJc w:val="left"/>
    </w:lvl>
  </w:abstractNum>
  <w:abstractNum w:abstractNumId="1">
    <w:nsid w:val="23F2E9A1"/>
    <w:multiLevelType w:val="multilevel"/>
    <w:tmpl w:val="23F2E9A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29119302"/>
    <w:multiLevelType w:val="singleLevel"/>
    <w:tmpl w:val="29119302"/>
    <w:lvl w:ilvl="0" w:tentative="0">
      <w:start w:val="1"/>
      <w:numFmt w:val="decimal"/>
      <w:suff w:val="space"/>
      <w:lvlText w:val="第%1章"/>
      <w:lvlJc w:val="left"/>
    </w:lvl>
  </w:abstractNum>
  <w:abstractNum w:abstractNumId="3">
    <w:nsid w:val="62DCC9D3"/>
    <w:multiLevelType w:val="singleLevel"/>
    <w:tmpl w:val="62DCC9D3"/>
    <w:lvl w:ilvl="0" w:tentative="0">
      <w:start w:val="1"/>
      <w:numFmt w:val="decimal"/>
      <w:suff w:val="space"/>
      <w:lvlText w:val="%1."/>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0F5AC5"/>
    <w:rsid w:val="00EC7860"/>
    <w:rsid w:val="021F735F"/>
    <w:rsid w:val="0B203EB3"/>
    <w:rsid w:val="2B4164D0"/>
    <w:rsid w:val="2E782484"/>
    <w:rsid w:val="340F5AC5"/>
    <w:rsid w:val="3A0910A9"/>
    <w:rsid w:val="3A2619DB"/>
    <w:rsid w:val="3C7D4733"/>
    <w:rsid w:val="561279E9"/>
    <w:rsid w:val="571376E9"/>
    <w:rsid w:val="77CE4508"/>
    <w:rsid w:val="7A2740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7073</Words>
  <Characters>8535</Characters>
  <Lines>0</Lines>
  <Paragraphs>0</Paragraphs>
  <TotalTime>2</TotalTime>
  <ScaleCrop>false</ScaleCrop>
  <LinksUpToDate>false</LinksUpToDate>
  <CharactersWithSpaces>8630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2026-06-15T13:27:00Z</dcterms:created>
  <dc:creator>諾</dc:creator>
  <cp:lastModifiedBy>諾</cp:lastModifiedBy>
  <dcterms:modified xsi:type="dcterms:W3CDTF">2026-06-16T08:50:24Z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D9A0255E5DEC4883B188F607D1D620FF_11</vt:lpwstr>
  </property>
  <property fmtid="{D5CDD505-2E9C-101B-9397-08002B2CF9AE}" pid="4" name="KSOTemplateDocerSaveRecord">
    <vt:lpwstr>eyJoZGlkIjoiM2M2MzcyNGZlZjdlYTVkMGViNDNhYTVmOTI2MGNlYTUiLCJ1c2VySWQiOiI1ODEwNjUxMjYifQ==</vt:lpwstr>
  </property>
</Properties>
</file>