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4B"/>
          <w:sz w:val="48"/>
        </w:rPr>
        <w:t>SCOUT INSIGHTS</w:t>
      </w:r>
    </w:p>
    <w:p>
      <w:pPr>
        <w:jc w:val="center"/>
      </w:pPr>
      <w:r>
        <w:rPr>
          <w:color w:val="2A9D8F"/>
          <w:sz w:val="26"/>
        </w:rPr>
        <w:t>Brief Scout Media's permission-based local research practice</w:t>
      </w:r>
    </w:p>
    <w:p>
      <w:pPr>
        <w:jc w:val="center"/>
      </w:pPr>
      <w:r>
        <w:rPr>
          <w:i/>
          <w:color w:val="415A6B"/>
          <w:sz w:val="21"/>
        </w:rPr>
        <w:t>No PII. Opt-in. Aggregate-only. The reader stays the customer — never the product.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idea in one line</w:t>
      </w:r>
    </w:p>
    <w:p>
      <w:pPr>
        <w:spacing w:after="100"/>
      </w:pPr>
      <w:r>
        <w:rPr>
          <w:i w:val="0"/>
          <w:sz w:val="22"/>
        </w:rPr>
        <w:t xml:space="preserve">Turn a trusted, engaged, *local* audience into the region's best source of consumer and civic insight — sold as </w:t>
      </w:r>
      <w:r>
        <w:rPr>
          <w:b/>
          <w:i w:val="0"/>
          <w:sz w:val="22"/>
        </w:rPr>
        <w:t>aggregate findings, never identities</w:t>
      </w:r>
      <w:r>
        <w:rPr>
          <w:i w:val="0"/>
          <w:sz w:val="22"/>
        </w:rPr>
        <w:t xml:space="preserve"> — building a high-margin, apolitical B2B revenue line that *deepens* trust instead of spending it, and makes Brief Scout the cited local authority.</w:t>
      </w:r>
    </w:p>
    <w:p>
      <w:pPr>
        <w:spacing w:after="100"/>
      </w:pPr>
      <w:r>
        <w:rPr>
          <w:b/>
          <w:i w:val="0"/>
          <w:sz w:val="22"/>
        </w:rPr>
        <w:t>Sequencing is the whole strategy: build depth before we monetize.</w:t>
      </w:r>
      <w:r>
        <w:rPr>
          <w:i w:val="0"/>
          <w:sz w:val="22"/>
        </w:rPr>
        <w:t xml:space="preserve"> We start with contest-based onboarding questions that form insights early (and immediately sharpen our own content, products, and events), deepen the dataset over time, establish credibility with house research, and only *then* open sponsored/custom panels.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20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sigh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2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B7B85"/>
          <w:sz w:val="17"/>
        </w:rPr>
        <w:t>Figure. The five phases — depth and credibility come before any sponsored dollar.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phased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44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type="dxa" w:w="489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187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Revenue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Phase 0 — Listen</w:t>
            </w:r>
          </w:p>
        </w:tc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Now (pre-10K)</w:t>
            </w:r>
          </w:p>
        </w:tc>
        <w:tc>
          <w:tcPr>
            <w:tcW w:type="dxa" w:w="489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Light in-newsletter 'Scout asks…' polls. Builds the response habit, makes great content, and proves people answer.</w:t>
            </w:r>
          </w:p>
        </w:tc>
        <w:tc>
          <w:tcPr>
            <w:tcW w:type="dxa" w:w="187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Internal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Phase 1 — Onboard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~3–12 mo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Contest-based 3–5-question micro-surveys at signup (and periodically). Collect consented, first-party profile data — age band, gender, part of town, interests, life stage. Insights form early.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Internal only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Phase 2 — Deepen</w:t>
            </w:r>
          </w:p>
        </w:tc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~9–24 mo</w:t>
            </w:r>
          </w:p>
        </w:tc>
        <w:tc>
          <w:tcPr>
            <w:tcW w:type="dxa" w:w="489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Progressive profiling (one question an issue) grows the opt-in 'Scout Insiders' panel and a real longitudinal dataset. Add methodology rigor (sampling, weighting).</w:t>
            </w:r>
          </w:p>
        </w:tc>
        <w:tc>
          <w:tcPr>
            <w:tcW w:type="dxa" w:w="187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Internal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Phase 3 — Authority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~18–30 mo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Publish 'The Scenic City Index' — house research that makes Brief Scout the cited local authority. Feeds editorial; builds the B2B brand.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Brand / PR (low/none)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Phase 4 — Monetize</w:t>
            </w:r>
          </w:p>
        </w:tc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~24 mo+</w:t>
            </w:r>
          </w:p>
        </w:tc>
        <w:tc>
          <w:tcPr>
            <w:tcW w:type="dxa" w:w="489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Only now: custom 'Scout Insights' studies and sponsored/omnibus panels for local orgs — apolitical, aggregate-only, walled from editorial.</w:t>
            </w:r>
          </w:p>
        </w:tc>
        <w:tc>
          <w:tcPr>
            <w:tcW w:type="dxa" w:w="187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B2B research revenue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Phase 1 — the contest-based onboarding mechanic</w:t>
      </w:r>
    </w:p>
    <w:p>
      <w:pPr>
        <w:spacing w:after="100"/>
      </w:pPr>
      <w:r>
        <w:rPr>
          <w:i w:val="0"/>
          <w:sz w:val="22"/>
        </w:rPr>
        <w:t xml:space="preserve">New (and existing) subscribers answer </w:t>
      </w:r>
      <w:r>
        <w:rPr>
          <w:b/>
          <w:i w:val="0"/>
          <w:sz w:val="22"/>
        </w:rPr>
        <w:t>3–5 quick questions</w:t>
      </w:r>
      <w:r>
        <w:rPr>
          <w:i w:val="0"/>
          <w:sz w:val="22"/>
        </w:rPr>
        <w:t xml:space="preserve"> to enter a contest — the prize is a gift card to a local business we cover, so the reward itself champions a maker. The questions are </w:t>
      </w:r>
      <w:r>
        <w:rPr>
          <w:b/>
          <w:i w:val="0"/>
          <w:sz w:val="22"/>
        </w:rPr>
        <w:t>first-party and consented</w:t>
      </w:r>
      <w:r>
        <w:rPr>
          <w:i w:val="0"/>
          <w:sz w:val="22"/>
        </w:rPr>
        <w:t>; some are simple demographics (age, gender) so we build the *right* content, products, and events. Insights start forming immediately.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Onboarding question</w:t>
            </w:r>
          </w:p>
        </w:tc>
        <w:tc>
          <w:tcPr>
            <w:tcW w:type="dxa" w:w="446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it powers right away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Later research value</w:t>
            </w:r>
          </w:p>
        </w:tc>
      </w:tr>
      <w:tr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Age band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Tone &amp; reading level; product sizing/merch; event design (nightlife vs. daytime)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Demographic cross-tabs for every study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Gender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Balanced content &amp; representation; product/merch mix; event programming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Representative weighting</w:t>
            </w:r>
          </w:p>
        </w:tc>
      </w:tr>
      <w:tr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Part of town / area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 relevance; where to host events; which neighborhoods to feature next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Geographic segmentation (a real local edge)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Interests (food/makers/outdoors/arts/family/getaways/civic)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Which sections, products, and events to expand — demand, not guesswork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Interest-based panels for clients</w:t>
            </w:r>
          </w:p>
        </w:tc>
      </w:tr>
      <w:tr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Life stage / household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Family vs. date-night vs. retiree programming; product fit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Lifestyle segmentation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New to Chattanooga? (under 2 yrs)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Powers the 'Newcomer' Lens + relocation funnel; serves the migration wave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High-value transplant cohort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6B7B85"/>
          <w:sz w:val="16"/>
        </w:rPr>
        <w:t>Every question earns its place twice — it improves the product now and becomes a research dimension later.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guardrails (non-negotiable)</w:t>
      </w:r>
    </w:p>
    <w:p>
      <w:pPr>
        <w:pStyle w:val="ListBullet"/>
        <w:spacing w:after="60"/>
      </w:pPr>
      <w:r>
        <w:rPr>
          <w:b/>
          <w:sz w:val="20"/>
        </w:rPr>
        <w:t>No PII — ever.</w:t>
      </w:r>
      <w:r>
        <w:rPr>
          <w:sz w:val="20"/>
        </w:rPr>
        <w:t xml:space="preserve"> Clients receive aggregate findings and cross-tabs, never names, emails, or individual records.</w:t>
      </w:r>
    </w:p>
    <w:p>
      <w:pPr>
        <w:pStyle w:val="ListBullet"/>
        <w:spacing w:after="60"/>
      </w:pPr>
      <w:r>
        <w:rPr>
          <w:b/>
          <w:sz w:val="20"/>
        </w:rPr>
        <w:t>First-party &amp; consented.</w:t>
      </w:r>
      <w:r>
        <w:rPr>
          <w:sz w:val="20"/>
        </w:rPr>
        <w:t xml:space="preserve"> Self-reported at opt-in, built up by progressive profiling. We do NOT silently buy third-party demographic appends and attach them — that's a trust and legal liability that contradicts the brand.</w:t>
      </w:r>
    </w:p>
    <w:p>
      <w:pPr>
        <w:pStyle w:val="ListBullet"/>
        <w:spacing w:after="60"/>
      </w:pPr>
      <w:r>
        <w:rPr>
          <w:b/>
          <w:sz w:val="20"/>
        </w:rPr>
        <w:t>Opt-in panel.</w:t>
      </w:r>
      <w:r>
        <w:rPr>
          <w:sz w:val="20"/>
        </w:rPr>
        <w:t xml:space="preserve"> 'Scout Insiders' is something readers choose to join, incentivized by a contest (prizes are gift cards to the local businesses we cover — the reward itself supports a maker).</w:t>
      </w:r>
    </w:p>
    <w:p>
      <w:pPr>
        <w:pStyle w:val="ListBullet"/>
        <w:spacing w:after="60"/>
      </w:pPr>
      <w:r>
        <w:rPr>
          <w:b/>
          <w:sz w:val="20"/>
        </w:rPr>
        <w:t>Frequency-capped.</w:t>
      </w:r>
      <w:r>
        <w:rPr>
          <w:sz w:val="20"/>
        </w:rPr>
        <w:t xml:space="preserve"> At most one profiling question per issue and one deeper survey a month. Belonging, not extraction — over-surveying churns the list.</w:t>
      </w:r>
    </w:p>
    <w:p>
      <w:pPr>
        <w:pStyle w:val="ListBullet"/>
        <w:spacing w:after="60"/>
      </w:pPr>
      <w:r>
        <w:rPr>
          <w:b/>
          <w:sz w:val="20"/>
        </w:rPr>
        <w:t>Walled from editorial.</w:t>
      </w:r>
      <w:r>
        <w:rPr>
          <w:sz w:val="20"/>
        </w:rPr>
        <w:t xml:space="preserve"> Research never dictates coverage; we decline political, religious, or advocacy work. Same bright line as the partner program.</w:t>
      </w:r>
    </w:p>
    <w:p>
      <w:pPr>
        <w:pStyle w:val="ListBullet"/>
        <w:spacing w:after="60"/>
      </w:pPr>
      <w:r>
        <w:rPr>
          <w:b/>
          <w:sz w:val="20"/>
        </w:rPr>
        <w:t>Transparent &amp; secure.</w:t>
      </w:r>
      <w:r>
        <w:rPr>
          <w:sz w:val="20"/>
        </w:rPr>
        <w:t xml:space="preserve"> Clear privacy policy, easy opt-out honored immediately, sensible data security.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immediate payoff — before a single external dollar</w:t>
      </w:r>
    </w:p>
    <w:p>
      <w:pPr>
        <w:spacing w:after="100"/>
      </w:pPr>
      <w:r>
        <w:rPr>
          <w:i w:val="0"/>
          <w:sz w:val="22"/>
        </w:rPr>
        <w:t xml:space="preserve">Even at $0 of research revenue, this pays for itself. Knowing your readers' age, neighborhood, life stage, and interests lets you </w:t>
      </w:r>
      <w:r>
        <w:rPr>
          <w:b/>
          <w:i w:val="0"/>
          <w:sz w:val="22"/>
        </w:rPr>
        <w:t>segment sends, tailor sections, size merch, and design events people actually show up to</w:t>
      </w:r>
      <w:r>
        <w:rPr>
          <w:i w:val="0"/>
          <w:sz w:val="22"/>
        </w:rPr>
        <w:t xml:space="preserve"> — lifting free→paid conversion and retention across the core business. The data is a *product-development engine* first and a revenue line second.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external products (Phase 3–4)</w:t>
      </w:r>
    </w:p>
    <w:p>
      <w:pPr>
        <w:spacing w:after="100"/>
      </w:pPr>
      <w:r>
        <w:rPr>
          <w:b/>
          <w:i w:val="0"/>
          <w:sz w:val="22"/>
        </w:rPr>
        <w:t>The Scenic City Index</w:t>
      </w:r>
      <w:r>
        <w:rPr>
          <w:i w:val="0"/>
          <w:sz w:val="22"/>
        </w:rPr>
        <w:t xml:space="preserve"> (house research) establishes authority and feeds editorial — the brand-builder. </w:t>
      </w:r>
      <w:r>
        <w:rPr>
          <w:b/>
          <w:i w:val="0"/>
          <w:sz w:val="22"/>
        </w:rPr>
        <w:t>Scout Insights</w:t>
      </w:r>
      <w:r>
        <w:rPr>
          <w:i w:val="0"/>
          <w:sz w:val="22"/>
        </w:rPr>
        <w:t xml:space="preserve"> (custom + omnibus) is the demand-driven revenue, sold only after depth and credibility exist.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489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59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Illustrative price</w:t>
            </w:r>
          </w:p>
        </w:tc>
      </w:tr>
      <w:tr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Omnibus question</w:t>
            </w:r>
          </w:p>
        </w:tc>
        <w:tc>
          <w:tcPr>
            <w:tcW w:type="dxa" w:w="489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one question to the monthly panel; client gets the cross-tabs</w:t>
            </w:r>
          </w:p>
        </w:tc>
        <w:tc>
          <w:tcPr>
            <w:tcW w:type="dxa" w:w="259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~$250–$750 / question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Focused custom study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Concept/pricing/satisfaction test, n≈300–800, report + readout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~$2.5K–$15K</w:t>
            </w:r>
          </w:p>
        </w:tc>
      </w:tr>
      <w:tr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Major study</w:t>
            </w:r>
          </w:p>
        </w:tc>
        <w:tc>
          <w:tcPr>
            <w:tcW w:type="dxa" w:w="489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Multi-segment or longitudinal work</w:t>
            </w:r>
          </w:p>
        </w:tc>
        <w:tc>
          <w:tcPr>
            <w:tcW w:type="dxa" w:w="259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~$15K–$50K+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Scenic City Index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Subscription / underwriting of the flagship report (clearly labeled)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Subscription or sponsor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6B7B85"/>
          <w:sz w:val="16"/>
        </w:rPr>
        <w:t>Illustrative; high margin because the audience already exists. Apolitical, aggregate-only, walled from editorial.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Fit in the model &amp; a light 3-year contribution</w:t>
      </w:r>
    </w:p>
    <w:p>
      <w:pPr>
        <w:spacing w:after="100"/>
      </w:pPr>
      <w:r>
        <w:rPr>
          <w:i w:val="0"/>
          <w:sz w:val="22"/>
        </w:rPr>
        <w:t xml:space="preserve">Scout Insights is a </w:t>
      </w:r>
      <w:r>
        <w:rPr>
          <w:b/>
          <w:i w:val="0"/>
          <w:sz w:val="22"/>
        </w:rPr>
        <w:t>fourth revenue line</w:t>
      </w:r>
      <w:r>
        <w:rPr>
          <w:i w:val="0"/>
          <w:sz w:val="22"/>
        </w:rPr>
        <w:t xml:space="preserve"> alongside membership, products, and events — and a walled B2B practice, like the partner program. It's deliberately back-loaded: the early value is internal (better content/products/events), the later value is revenue *and* the unbookable payoff of authority and brand.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73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External revenue (illustrative)</w:t>
            </w:r>
          </w:p>
        </w:tc>
        <w:tc>
          <w:tcPr>
            <w:tcW w:type="dxa" w:w="57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The bigger payoff</w:t>
            </w:r>
          </w:p>
        </w:tc>
      </w:tr>
      <w:tr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Year 1</w:t>
            </w:r>
          </w:p>
        </w:tc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~$0 external</w:t>
            </w:r>
          </w:p>
        </w:tc>
        <w:tc>
          <w:tcPr>
            <w:tcW w:type="dxa" w:w="57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payoff is internal: onboarding data makes content, products &amp; events land — higher conversion &amp; retention from day one.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Year 2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~$5K–$20K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First Index underwriting + a few omnibus/custom pilots as depth and credibility build.</w:t>
            </w:r>
          </w:p>
        </w:tc>
      </w:tr>
      <w:tr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Year 3</w:t>
            </w:r>
          </w:p>
        </w:tc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~$25K–$60K</w:t>
            </w:r>
          </w:p>
        </w:tc>
        <w:tc>
          <w:tcPr>
            <w:tcW w:type="dxa" w:w="57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 studies + Index subscriptions mature — plus the larger, unbookable payoff: authority, PR, and product-market fit.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Bottom line</w:t>
      </w:r>
    </w:p>
    <w:p>
      <w:pPr>
        <w:spacing w:after="100"/>
      </w:pPr>
      <w:r>
        <w:rPr>
          <w:i w:val="0"/>
          <w:sz w:val="22"/>
        </w:rPr>
        <w:t>A permission-based, no-PII insights practice is the most on-brand non-advertising revenue Brief Scout can build: it monetizes trust without selling the reader, sharpens the core product from week one, and — through 'The Scenic City Index' — makes Brief Scout the authority on what Chattanooga thinks. Build the depth first; the panels will be worth far more for the wait.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