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6E2A35"/>
          <w:sz w:val="52"/>
        </w:rPr>
        <w:t>ENCORE — The Revenue Model</w:t>
      </w:r>
    </w:p>
    <w:p>
      <w:pPr>
        <w:jc w:val="center"/>
      </w:pPr>
      <w:r>
        <w:rPr>
          <w:i/>
          <w:color w:val="23282E"/>
          <w:sz w:val="26"/>
        </w:rPr>
        <w:t>Reader-funded. Connection first, revenue as the byproduct.</w:t>
      </w:r>
    </w:p>
    <w:p>
      <w:pPr>
        <w:jc w:val="center"/>
      </w:pPr>
      <w:r>
        <w:rPr>
          <w:i/>
          <w:color w:val="8A8170"/>
          <w:sz w:val="18"/>
        </w:rPr>
        <w:t>A Brief Scout Media title  ·  national, for accomplished people 55–75 building what's next  ·  all figures illustrative &amp; conservative</w:t>
      </w:r>
    </w:p>
    <w:p/>
    <w:p>
      <w:pPr>
        <w:spacing w:before="240" w:after="60"/>
        <w:pBdr>
          <w:bottom w:val="single" w:sz="6" w:space="2" w:color="B08D57"/>
        </w:pBdr>
      </w:pPr>
      <w:r>
        <w:rPr>
          <w:b/>
          <w:color w:val="6E2A35"/>
          <w:sz w:val="29"/>
        </w:rPr>
        <w:t>The philosophy</w:t>
      </w:r>
    </w:p>
    <w:p>
      <w:pPr>
        <w:spacing w:after="120"/>
      </w:pPr>
      <w:r>
        <w:rPr>
          <w:i w:val="0"/>
          <w:sz w:val="20"/>
        </w:rPr>
        <w:t xml:space="preserve">Encore is your personal-journey product first, so the model is built so that </w:t>
      </w:r>
      <w:r>
        <w:rPr>
          <w:b/>
          <w:i w:val="0"/>
          <w:sz w:val="20"/>
        </w:rPr>
        <w:t>money follows connection and never leads it.</w:t>
      </w:r>
      <w:r>
        <w:rPr>
          <w:i w:val="0"/>
          <w:sz w:val="20"/>
        </w:rPr>
        <w:t xml:space="preserve"> It is </w:t>
      </w:r>
      <w:r>
        <w:rPr>
          <w:b/>
          <w:i w:val="0"/>
          <w:sz w:val="20"/>
        </w:rPr>
        <w:t>reader-funded by design</w:t>
      </w:r>
      <w:r>
        <w:rPr>
          <w:i w:val="0"/>
          <w:sz w:val="20"/>
        </w:rPr>
        <w:t xml:space="preserve"> — no ads, no sponsored content, and (the deliberate inverse of ROAR) </w:t>
      </w:r>
      <w:r>
        <w:rPr>
          <w:b/>
          <w:i w:val="0"/>
          <w:sz w:val="20"/>
        </w:rPr>
        <w:t>it never sells its members to brands.</w:t>
      </w:r>
      <w:r>
        <w:rPr>
          <w:i w:val="0"/>
          <w:sz w:val="20"/>
        </w:rPr>
        <w:t xml:space="preserve"> The people Encore serves are the only people it answers to. That integrity is both the soul of the thing and, with this audience, the smarter business.</w:t>
      </w:r>
    </w:p>
    <w:p>
      <w:pPr>
        <w:spacing w:after="120"/>
      </w:pPr>
      <w:r>
        <w:rPr>
          <w:i w:val="0"/>
          <w:sz w:val="20"/>
        </w:rPr>
        <w:t xml:space="preserve">Two facts make the economics work without advertising: the audience is </w:t>
      </w:r>
      <w:r>
        <w:rPr>
          <w:b/>
          <w:i w:val="0"/>
          <w:sz w:val="20"/>
        </w:rPr>
        <w:t>affluent and time-rich</w:t>
      </w:r>
      <w:r>
        <w:rPr>
          <w:i w:val="0"/>
          <w:sz w:val="20"/>
        </w:rPr>
        <w:t xml:space="preserve">, and it values </w:t>
      </w:r>
      <w:r>
        <w:rPr>
          <w:b/>
          <w:i w:val="0"/>
          <w:sz w:val="20"/>
        </w:rPr>
        <w:t>access, peers, and contribution over price.</w:t>
      </w:r>
      <w:r>
        <w:rPr>
          <w:i w:val="0"/>
          <w:sz w:val="20"/>
        </w:rPr>
        <w:t xml:space="preserve"> That means </w:t>
      </w:r>
      <w:r>
        <w:rPr>
          <w:b/>
          <w:i w:val="0"/>
          <w:sz w:val="20"/>
        </w:rPr>
        <w:t>small numbers produce real revenue</w:t>
      </w:r>
      <w:r>
        <w:rPr>
          <w:i w:val="0"/>
          <w:sz w:val="20"/>
        </w:rPr>
        <w:t>, and the highest-value lines — community and live experiences — are exactly the ones an ad model can't touch. Membership can also begin *earlier* than a local newsletter's, because this reader is used to paying for rooms worth being in.</w:t>
      </w:r>
    </w:p>
    <w:p>
      <w:pPr>
        <w:spacing w:before="240" w:after="60"/>
        <w:pBdr>
          <w:bottom w:val="single" w:sz="6" w:space="2" w:color="B08D57"/>
        </w:pBdr>
      </w:pPr>
      <w:r>
        <w:rPr>
          <w:b/>
          <w:color w:val="6E2A35"/>
          <w:sz w:val="29"/>
        </w:rPr>
        <w:t>The revenue 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88"/>
            <w:shd w:val="clear" w:color="auto" w:fill="6E2A35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3600"/>
            <w:shd w:val="clear" w:color="auto" w:fill="6E2A35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2304"/>
            <w:shd w:val="clear" w:color="auto" w:fill="6E2A35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Who pays</w:t>
            </w:r>
          </w:p>
        </w:tc>
        <w:tc>
          <w:tcPr>
            <w:tcW w:type="dxa" w:w="2304"/>
            <w:shd w:val="clear" w:color="auto" w:fill="6E2A35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2088"/>
            <w:shd w:val="clear" w:color="auto" w:fill="FBF8F2"/>
          </w:tcPr>
          <w:p>
            <w:pPr>
              <w:jc w:val="left"/>
            </w:pPr>
            <w:r/>
            <w:r>
              <w:rPr>
                <w:b/>
                <w:color w:val="23282E"/>
                <w:sz w:val="17"/>
              </w:rPr>
              <w:t>Membership</w:t>
            </w:r>
          </w:p>
        </w:tc>
        <w:tc>
          <w:tcPr>
            <w:tcW w:type="dxa" w:w="3600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Paid access to the community + full archive + member events</w:t>
            </w:r>
          </w:p>
        </w:tc>
        <w:tc>
          <w:tcPr>
            <w:tcW w:type="dxa" w:w="2304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reader</w:t>
            </w:r>
          </w:p>
        </w:tc>
        <w:tc>
          <w:tcPr>
            <w:tcW w:type="dxa" w:w="2304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recurring base — predictable, compounding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3282E"/>
                <w:sz w:val="17"/>
              </w:rPr>
              <w:t>Events &amp; retreats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Working retreats, peer cohorts, regional dinners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Members &amp; guests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engine — highest margin, deepest trust</w:t>
            </w:r>
          </w:p>
        </w:tc>
      </w:tr>
      <w:tr>
        <w:tc>
          <w:tcPr>
            <w:tcW w:type="dxa" w:w="2088"/>
            <w:shd w:val="clear" w:color="auto" w:fill="FBF8F2"/>
          </w:tcPr>
          <w:p>
            <w:pPr>
              <w:jc w:val="left"/>
            </w:pPr>
            <w:r/>
            <w:r>
              <w:rPr>
                <w:b/>
                <w:color w:val="23282E"/>
                <w:sz w:val="17"/>
              </w:rPr>
              <w:t>The Founders' Circle</w:t>
            </w:r>
          </w:p>
        </w:tc>
        <w:tc>
          <w:tcPr>
            <w:tcW w:type="dxa" w:w="3600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small premium inner ring: cohorts, direct access, priority</w:t>
            </w:r>
          </w:p>
        </w:tc>
        <w:tc>
          <w:tcPr>
            <w:tcW w:type="dxa" w:w="2304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most committed readers</w:t>
            </w:r>
          </w:p>
        </w:tc>
        <w:tc>
          <w:tcPr>
            <w:tcW w:type="dxa" w:w="2304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profit core — 'pays for the room' pricing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3282E"/>
                <w:sz w:val="17"/>
              </w:rPr>
              <w:t>Curated commerce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book, tools, experiences, member trips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reader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Halo + modest margin; the book is authority</w:t>
            </w:r>
          </w:p>
        </w:tc>
      </w:tr>
      <w:tr>
        <w:tc>
          <w:tcPr>
            <w:tcW w:type="dxa" w:w="2088"/>
            <w:shd w:val="clear" w:color="auto" w:fill="FBF8F2"/>
          </w:tcPr>
          <w:p>
            <w:pPr>
              <w:jc w:val="left"/>
            </w:pPr>
            <w:r/>
            <w:r>
              <w:rPr>
                <w:b/>
                <w:color w:val="23282E"/>
                <w:sz w:val="17"/>
              </w:rPr>
              <w:t>(Deliberately absent)</w:t>
            </w:r>
          </w:p>
        </w:tc>
        <w:tc>
          <w:tcPr>
            <w:tcW w:type="dxa" w:w="3600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 ads · no sponsored content · no selling members to brands</w:t>
            </w:r>
          </w:p>
        </w:tc>
        <w:tc>
          <w:tcPr>
            <w:tcW w:type="dxa" w:w="2304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304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integrity moat vs. ROAR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6" w:space="2" w:color="B08D57"/>
        </w:pBdr>
      </w:pPr>
      <w:r>
        <w:rPr>
          <w:b/>
          <w:color w:val="6E2A35"/>
          <w:sz w:val="29"/>
        </w:rPr>
        <w:t>Membership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shd w:val="clear" w:color="auto" w:fill="6E2A35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2592"/>
            <w:shd w:val="clear" w:color="auto" w:fill="6E2A35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Price (illustrative)</w:t>
            </w:r>
          </w:p>
        </w:tc>
        <w:tc>
          <w:tcPr>
            <w:tcW w:type="dxa" w:w="5184"/>
            <w:shd w:val="clear" w:color="auto" w:fill="6E2A35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you get</w:t>
            </w:r>
          </w:p>
        </w:tc>
      </w:tr>
      <w:tr>
        <w:tc>
          <w:tcPr>
            <w:tcW w:type="dxa" w:w="1872"/>
            <w:shd w:val="clear" w:color="auto" w:fill="FBF8F2"/>
          </w:tcPr>
          <w:p>
            <w:pPr>
              <w:jc w:val="left"/>
            </w:pPr>
            <w:r/>
            <w:r>
              <w:rPr>
                <w:b/>
                <w:color w:val="23282E"/>
                <w:sz w:val="17"/>
              </w:rPr>
              <w:t>Free</w:t>
            </w:r>
          </w:p>
        </w:tc>
        <w:tc>
          <w:tcPr>
            <w:tcW w:type="dxa" w:w="2592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$0</w:t>
            </w:r>
          </w:p>
        </w:tc>
        <w:tc>
          <w:tcPr>
            <w:tcW w:type="dxa" w:w="5184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weekly Opening, the Encore Profile, Last Word — the front door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3282E"/>
                <w:sz w:val="17"/>
              </w:rPr>
              <w:t>Member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~$15–25/mo or ~$180–250/yr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 xml:space="preserve">The full weekly + archive + </w:t>
            </w:r>
            <w:r>
              <w:rPr>
                <w:b/>
                <w:sz w:val="17"/>
              </w:rPr>
              <w:t>The Roundtable</w:t>
            </w:r>
            <w:r>
              <w:rPr>
                <w:b w:val="0"/>
                <w:sz w:val="17"/>
              </w:rPr>
              <w:t xml:space="preserve"> (member directory, asks-and-offers, intros, online gatherings) + member-rate events</w:t>
            </w:r>
          </w:p>
        </w:tc>
      </w:tr>
      <w:tr>
        <w:tc>
          <w:tcPr>
            <w:tcW w:type="dxa" w:w="1872"/>
            <w:shd w:val="clear" w:color="auto" w:fill="FBF8F2"/>
          </w:tcPr>
          <w:p>
            <w:pPr>
              <w:jc w:val="left"/>
            </w:pPr>
            <w:r/>
            <w:r>
              <w:rPr>
                <w:b/>
                <w:color w:val="23282E"/>
                <w:sz w:val="17"/>
              </w:rPr>
              <w:t>Founders' Circle</w:t>
            </w:r>
          </w:p>
        </w:tc>
        <w:tc>
          <w:tcPr>
            <w:tcW w:type="dxa" w:w="2592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~$3,000–7,500/yr (or invite)</w:t>
            </w:r>
          </w:p>
        </w:tc>
        <w:tc>
          <w:tcPr>
            <w:tcW w:type="dxa" w:w="5184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small peer cohort (mastermind-style), priority/included retreat seats, direct access, the inner room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8A8170"/>
          <w:sz w:val="18"/>
        </w:rPr>
        <w:t>Note: 'The Roundtable' is the community feature name (it replaces the earlier 'The Table,' which is Food as a Verb's brand).</w:t>
      </w:r>
    </w:p>
    <w:p>
      <w:pPr>
        <w:spacing w:before="240" w:after="60"/>
        <w:pBdr>
          <w:bottom w:val="single" w:sz="6" w:space="2" w:color="B08D57"/>
        </w:pBdr>
      </w:pPr>
      <w:r>
        <w:rPr>
          <w:b/>
          <w:color w:val="6E2A35"/>
          <w:sz w:val="29"/>
        </w:rPr>
        <w:t>Events — the engine</w:t>
      </w:r>
    </w:p>
    <w:p>
      <w:pPr>
        <w:spacing w:after="120"/>
      </w:pPr>
      <w:r>
        <w:rPr>
          <w:i w:val="0"/>
          <w:sz w:val="20"/>
        </w:rPr>
        <w:t>For this audience, live experiences are where both the value and the margin concentrate. Three formats, in rising price/intimacy: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shd w:val="clear" w:color="auto" w:fill="6E2A35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3888"/>
            <w:shd w:val="clear" w:color="auto" w:fill="6E2A35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Shape (illustrative)</w:t>
            </w:r>
          </w:p>
        </w:tc>
        <w:tc>
          <w:tcPr>
            <w:tcW w:type="dxa" w:w="4176"/>
            <w:shd w:val="clear" w:color="auto" w:fill="6E2A35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Economics</w:t>
            </w:r>
          </w:p>
        </w:tc>
      </w:tr>
      <w:tr>
        <w:tc>
          <w:tcPr>
            <w:tcW w:type="dxa" w:w="2016"/>
            <w:shd w:val="clear" w:color="auto" w:fill="FBF8F2"/>
          </w:tcPr>
          <w:p>
            <w:pPr>
              <w:jc w:val="left"/>
            </w:pPr>
            <w:r/>
            <w:r>
              <w:rPr>
                <w:b/>
                <w:color w:val="23282E"/>
                <w:sz w:val="17"/>
              </w:rPr>
              <w:t>Founders' Dinners</w:t>
            </w:r>
          </w:p>
        </w:tc>
        <w:tc>
          <w:tcPr>
            <w:tcW w:type="dxa" w:w="3888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20–30 people, regional, a few times a year</w:t>
            </w:r>
          </w:p>
        </w:tc>
        <w:tc>
          <w:tcPr>
            <w:tcW w:type="dxa" w:w="4176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$100–250/seat; modest cash, high relationship value &amp; funnel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3282E"/>
                <w:sz w:val="17"/>
              </w:rPr>
              <w:t>Working Retreats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25–40 people, multi-day, curated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$2,500–5,000/seat; venue/partner cost ~40–50%; strong net + the year's best content</w:t>
            </w:r>
          </w:p>
        </w:tc>
      </w:tr>
      <w:tr>
        <w:tc>
          <w:tcPr>
            <w:tcW w:type="dxa" w:w="2016"/>
            <w:shd w:val="clear" w:color="auto" w:fill="FBF8F2"/>
          </w:tcPr>
          <w:p>
            <w:pPr>
              <w:jc w:val="left"/>
            </w:pPr>
            <w:r/>
            <w:r>
              <w:rPr>
                <w:b/>
                <w:color w:val="23282E"/>
                <w:sz w:val="17"/>
              </w:rPr>
              <w:t>Peer Cohorts</w:t>
            </w:r>
          </w:p>
        </w:tc>
        <w:tc>
          <w:tcPr>
            <w:tcW w:type="dxa" w:w="3888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8–12 people, year-long, mastermind-style</w:t>
            </w:r>
          </w:p>
        </w:tc>
        <w:tc>
          <w:tcPr>
            <w:tcW w:type="dxa" w:w="4176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$5,000–12,000/yr each; the premium recurring line — small groups, deep value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5A6470"/>
          <w:sz w:val="19"/>
        </w:rPr>
        <w:t>Member trips ('From the Source'-style, but for second-act experiences) are a natural extension — members pay for access, the founder hosts. A clean, high-margin business event.</w:t>
      </w:r>
    </w:p>
    <w:p>
      <w:r>
        <w:br w:type="page"/>
      </w:r>
    </w:p>
    <w:p>
      <w:pPr>
        <w:spacing w:before="240" w:after="60"/>
        <w:pBdr>
          <w:bottom w:val="single" w:sz="6" w:space="2" w:color="B08D57"/>
        </w:pBdr>
      </w:pPr>
      <w:r>
        <w:rPr>
          <w:b/>
          <w:color w:val="6E2A35"/>
          <w:sz w:val="29"/>
        </w:rPr>
        <w:t>Illustrative three-year sketch (conservative)</w:t>
      </w:r>
    </w:p>
    <w:p>
      <w:pPr>
        <w:spacing w:after="120"/>
      </w:pPr>
      <w:r>
        <w:rPr>
          <w:i/>
          <w:color w:val="8A8170"/>
          <w:sz w:val="19"/>
        </w:rPr>
        <w:t>National niche + affluent reader. Figures are illustrative and deliberately conservative — to show the *shape*, not to forecast. Assumes membership ARPU ~$200/yr and that events grow as the community and the founder's bandwidth 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440"/>
            <w:shd w:val="clear" w:color="auto" w:fill="6E2A35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Year</w:t>
            </w:r>
          </w:p>
        </w:tc>
        <w:tc>
          <w:tcPr>
            <w:tcW w:type="dxa" w:w="1368"/>
            <w:shd w:val="clear" w:color="auto" w:fill="6E2A35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Free list</w:t>
            </w:r>
          </w:p>
        </w:tc>
        <w:tc>
          <w:tcPr>
            <w:tcW w:type="dxa" w:w="1440"/>
            <w:shd w:val="clear" w:color="auto" w:fill="6E2A35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Paid members</w:t>
            </w:r>
          </w:p>
        </w:tc>
        <w:tc>
          <w:tcPr>
            <w:tcW w:type="dxa" w:w="1440"/>
            <w:shd w:val="clear" w:color="auto" w:fill="6E2A35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Membership</w:t>
            </w:r>
          </w:p>
        </w:tc>
        <w:tc>
          <w:tcPr>
            <w:tcW w:type="dxa" w:w="1800"/>
            <w:shd w:val="clear" w:color="auto" w:fill="6E2A35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Events</w:t>
            </w:r>
          </w:p>
        </w:tc>
        <w:tc>
          <w:tcPr>
            <w:tcW w:type="dxa" w:w="1944"/>
            <w:shd w:val="clear" w:color="auto" w:fill="6E2A35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Book/commerce</w:t>
            </w:r>
          </w:p>
        </w:tc>
        <w:tc>
          <w:tcPr>
            <w:tcW w:type="dxa" w:w="1399"/>
            <w:shd w:val="clear" w:color="auto" w:fill="6E2A35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Total (illustrative)</w:t>
            </w:r>
          </w:p>
        </w:tc>
      </w:tr>
      <w:tr>
        <w:tc>
          <w:tcPr>
            <w:tcW w:type="dxa" w:w="1440"/>
            <w:shd w:val="clear" w:color="auto" w:fill="FBF8F2"/>
          </w:tcPr>
          <w:p>
            <w:pPr>
              <w:jc w:val="left"/>
            </w:pPr>
            <w:r/>
            <w:r>
              <w:rPr>
                <w:b/>
                <w:color w:val="23282E"/>
                <w:sz w:val="16"/>
              </w:rPr>
              <w:t>1 · Build</w:t>
            </w:r>
          </w:p>
        </w:tc>
        <w:tc>
          <w:tcPr>
            <w:tcW w:type="dxa" w:w="1368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~5,000</w:t>
            </w:r>
          </w:p>
        </w:tc>
        <w:tc>
          <w:tcPr>
            <w:tcW w:type="dxa" w:w="1440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~150 founding</w:t>
            </w:r>
          </w:p>
        </w:tc>
        <w:tc>
          <w:tcPr>
            <w:tcW w:type="dxa" w:w="1440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~$30K</w:t>
            </w:r>
          </w:p>
        </w:tc>
        <w:tc>
          <w:tcPr>
            <w:tcW w:type="dxa" w:w="1800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~$25K (pilot cohort/dinner)</w:t>
            </w:r>
          </w:p>
        </w:tc>
        <w:tc>
          <w:tcPr>
            <w:tcW w:type="dxa" w:w="1944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~$10K</w:t>
            </w:r>
          </w:p>
        </w:tc>
        <w:tc>
          <w:tcPr>
            <w:tcW w:type="dxa" w:w="1399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~$65K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3282E"/>
                <w:sz w:val="16"/>
              </w:rPr>
              <w:t>2 · Turn on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~20,000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~800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~$160K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~$180K (retreats + cohorts)</w:t>
            </w:r>
          </w:p>
        </w:tc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~$20K</w:t>
            </w:r>
          </w:p>
        </w:tc>
        <w:tc>
          <w:tcPr>
            <w:tcW w:type="dxa" w:w="139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~$360K</w:t>
            </w:r>
          </w:p>
        </w:tc>
      </w:tr>
      <w:tr>
        <w:tc>
          <w:tcPr>
            <w:tcW w:type="dxa" w:w="1440"/>
            <w:shd w:val="clear" w:color="auto" w:fill="FBF8F2"/>
          </w:tcPr>
          <w:p>
            <w:pPr>
              <w:jc w:val="left"/>
            </w:pPr>
            <w:r/>
            <w:r>
              <w:rPr>
                <w:b/>
                <w:color w:val="23282E"/>
                <w:sz w:val="16"/>
              </w:rPr>
              <w:t>3 · Scale</w:t>
            </w:r>
          </w:p>
        </w:tc>
        <w:tc>
          <w:tcPr>
            <w:tcW w:type="dxa" w:w="1368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~50,000</w:t>
            </w:r>
          </w:p>
        </w:tc>
        <w:tc>
          <w:tcPr>
            <w:tcW w:type="dxa" w:w="1440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~2,500</w:t>
            </w:r>
          </w:p>
        </w:tc>
        <w:tc>
          <w:tcPr>
            <w:tcW w:type="dxa" w:w="1440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~$500K</w:t>
            </w:r>
          </w:p>
        </w:tc>
        <w:tc>
          <w:tcPr>
            <w:tcW w:type="dxa" w:w="1800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~$400K</w:t>
            </w:r>
          </w:p>
        </w:tc>
        <w:tc>
          <w:tcPr>
            <w:tcW w:type="dxa" w:w="1944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~$50K</w:t>
            </w:r>
          </w:p>
        </w:tc>
        <w:tc>
          <w:tcPr>
            <w:tcW w:type="dxa" w:w="1399"/>
            <w:shd w:val="clear" w:color="auto" w:fill="FBF8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~$950K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  <w:color w:val="5A6470"/>
          <w:sz w:val="19"/>
        </w:rPr>
        <w:t>Read it as a range, not a promise: the point is that a *reader-funded* model reaches meaningful revenue on modest audience numbers, because the ARPU and event margins are high. A slower 'right-sized' path (smaller list, fewer events) is a perfectly good outcome and stays true to the personal-journey intent.</w:t>
      </w:r>
    </w:p>
    <w:p>
      <w:pPr>
        <w:spacing w:before="240" w:after="60"/>
        <w:pBdr>
          <w:bottom w:val="single" w:sz="6" w:space="2" w:color="B08D57"/>
        </w:pBdr>
      </w:pPr>
      <w:r>
        <w:rPr>
          <w:b/>
          <w:color w:val="6E2A35"/>
          <w:sz w:val="29"/>
        </w:rPr>
        <w:t>The north star — the inner-ring math</w:t>
      </w:r>
    </w:p>
    <w:p>
      <w:pPr>
        <w:spacing w:after="120"/>
      </w:pPr>
      <w:r>
        <w:rPr>
          <w:i w:val="0"/>
          <w:sz w:val="20"/>
        </w:rPr>
        <w:t xml:space="preserve">Scenic City Insider's mountain is </w:t>
      </w:r>
      <w:r>
        <w:rPr>
          <w:b/>
          <w:i w:val="0"/>
          <w:sz w:val="20"/>
        </w:rPr>
        <w:t>200 members × $1,000</w:t>
      </w:r>
      <w:r>
        <w:rPr>
          <w:i w:val="0"/>
          <w:sz w:val="20"/>
        </w:rPr>
        <w:t xml:space="preserve"> for experiences that make $1,000 feel cheap. Encore's version is the same idea with a bigger, national, affluent base: </w:t>
      </w:r>
      <w:r>
        <w:rPr>
          <w:b/>
          <w:i w:val="0"/>
          <w:sz w:val="20"/>
        </w:rPr>
        <w:t>a Founders' Circle of ~200 at ~$5,000 ≈ $1M from the inner ring alone</w:t>
      </w:r>
      <w:r>
        <w:rPr>
          <w:i w:val="0"/>
          <w:sz w:val="20"/>
        </w:rPr>
        <w:t xml:space="preserve"> — built on cohorts, retreats, and access that make $5,000 feel inexpensive and indispensable. The broad membership and events then sit *on top* of that core. You don't need a mass audience; you need a few hundred people who'd pay for the room.</w:t>
      </w:r>
    </w:p>
    <w:p>
      <w:pPr>
        <w:spacing w:before="240" w:after="60"/>
        <w:pBdr>
          <w:bottom w:val="single" w:sz="6" w:space="2" w:color="B08D57"/>
        </w:pBdr>
      </w:pPr>
      <w:r>
        <w:rPr>
          <w:b/>
          <w:color w:val="6E2A35"/>
          <w:sz w:val="29"/>
        </w:rPr>
        <w:t>What Encore will not do — and why that's the moat</w:t>
      </w:r>
    </w:p>
    <w:p>
      <w:pPr>
        <w:pStyle w:val="ListBullet"/>
        <w:spacing w:after="60"/>
      </w:pPr>
      <w:r>
        <w:rPr>
          <w:b/>
          <w:sz w:val="19"/>
        </w:rPr>
        <w:t>No advertising, no sponsored content, no selling members to marketers.</w:t>
      </w:r>
      <w:r>
        <w:rPr>
          <w:sz w:val="19"/>
        </w:rPr>
        <w:t xml:space="preserve"> ROAR's revenue comes from the brands it covers; Encore's comes from the people it serves. With a skeptical, accomplished audience, that integrity *is* the product.</w:t>
      </w:r>
    </w:p>
    <w:p>
      <w:pPr>
        <w:pStyle w:val="ListBullet"/>
        <w:spacing w:after="60"/>
      </w:pPr>
      <w:r>
        <w:rPr>
          <w:b/>
          <w:sz w:val="19"/>
        </w:rPr>
        <w:t>Make the network — not the founder — the durable asset.</w:t>
      </w:r>
      <w:r>
        <w:rPr>
          <w:sz w:val="19"/>
        </w:rPr>
        <w:t xml:space="preserve"> Both Encore and ROAR are founder-led; Encore's edge is that The Roundtable and the cohorts create value member-to-member, so the business outlasts any one voice.</w:t>
      </w:r>
    </w:p>
    <w:p>
      <w:pPr>
        <w:pStyle w:val="ListBullet"/>
        <w:spacing w:after="60"/>
      </w:pPr>
      <w:r>
        <w:rPr>
          <w:b/>
          <w:sz w:val="19"/>
        </w:rPr>
        <w:t>Don't let revenue corrupt the soul.</w:t>
      </w:r>
      <w:r>
        <w:rPr>
          <w:sz w:val="19"/>
        </w:rPr>
        <w:t xml:space="preserve"> This is your personal-journey product. Price on value and access, keep it reader-funded, and let the money be the happy byproduct of a community that works.</w:t>
      </w:r>
    </w:p>
    <w:p>
      <w:pPr>
        <w:spacing w:before="240" w:after="60"/>
        <w:pBdr>
          <w:bottom w:val="single" w:sz="6" w:space="2" w:color="B08D57"/>
        </w:pBdr>
      </w:pPr>
      <w:r>
        <w:rPr>
          <w:b/>
          <w:color w:val="6E2A35"/>
          <w:sz w:val="29"/>
        </w:rPr>
        <w:t>Guardrails</w:t>
      </w:r>
    </w:p>
    <w:p>
      <w:pPr>
        <w:pStyle w:val="ListBullet"/>
        <w:spacing w:after="60"/>
      </w:pPr>
      <w:r>
        <w:rPr>
          <w:b/>
          <w:sz w:val="19"/>
        </w:rPr>
        <w:t>Regulatory caution on 'deal flow.'</w:t>
      </w:r>
      <w:r>
        <w:rPr>
          <w:sz w:val="19"/>
        </w:rPr>
        <w:t xml:space="preserve"> The Roundtable can host member asks/offers and introductions, but the moment Encore takes a fee or carry on investments/syndicates, it enters securities-regulated territory — keep matchmaking informal, or get counsel before monetizing it.</w:t>
      </w:r>
    </w:p>
    <w:p>
      <w:pPr>
        <w:pStyle w:val="ListBullet"/>
        <w:spacing w:after="60"/>
      </w:pPr>
      <w:r>
        <w:rPr>
          <w:b/>
          <w:sz w:val="19"/>
        </w:rPr>
        <w:t>Events carry real cost &amp; logistics</w:t>
      </w:r>
      <w:r>
        <w:rPr>
          <w:sz w:val="19"/>
        </w:rPr>
        <w:t xml:space="preserve"> — retreats live or die on the partner/venue math; price for ~40–50% delivered cost and pre-sell seats.</w:t>
      </w:r>
    </w:p>
    <w:p>
      <w:pPr>
        <w:pStyle w:val="ListBullet"/>
        <w:spacing w:after="60"/>
      </w:pPr>
      <w:r>
        <w:rPr>
          <w:b/>
          <w:sz w:val="19"/>
        </w:rPr>
        <w:t>Name vetting</w:t>
      </w:r>
      <w:r>
        <w:rPr>
          <w:sz w:val="19"/>
        </w:rPr>
        <w:t xml:space="preserve"> — 'Encore' is crowded (Encore.org/CoGenerate, Wynn); run the domain + USPTO/TESS pass before committing, likely as a lockup. (Working title only.)</w:t>
      </w:r>
    </w:p>
    <w:p>
      <w:pPr>
        <w:pStyle w:val="ListBullet"/>
        <w:spacing w:after="60"/>
      </w:pPr>
      <w:r>
        <w:rPr>
          <w:b/>
          <w:sz w:val="19"/>
        </w:rPr>
        <w:t>Sequence it:</w:t>
      </w:r>
      <w:r>
        <w:rPr>
          <w:sz w:val="19"/>
        </w:rPr>
        <w:t xml:space="preserve"> Year 1 — grow the list, open a founding-member waitlist, run one pilot cohort; Year 2 — turn on membership + The Roundtable, host the first retreats; Year 3 — scale cohorts/retreats and the Founders' Circle.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