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E2B39"/>
          <w:sz w:val="50"/>
        </w:rPr>
        <w:t>Mise en Place — The Revenue Model</w:t>
      </w:r>
    </w:p>
    <w:p>
      <w:pPr>
        <w:jc w:val="center"/>
      </w:pPr>
      <w:r>
        <w:rPr>
          <w:i/>
          <w:color w:val="2A2420"/>
          <w:sz w:val="26"/>
        </w:rPr>
        <w:t>Openly sponsored. Events-first. Lifestyle-scale.</w:t>
      </w:r>
    </w:p>
    <w:p>
      <w:pPr>
        <w:jc w:val="center"/>
      </w:pPr>
      <w:r>
        <w:rPr>
          <w:i/>
          <w:color w:val="8A7F70"/>
          <w:sz w:val="18"/>
        </w:rPr>
        <w:t>The sponsored companion to Scenic City Insider  ·  all figures illustrative &amp; conservative  ·  project name “MeP”</w:t>
      </w:r>
    </w:p>
    <w:p/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philosophy — the deliberate opposite of SCI</w:t>
      </w:r>
    </w:p>
    <w:p>
      <w:pPr>
        <w:spacing w:after="120"/>
      </w:pPr>
      <w:r>
        <w:rPr>
          <w:i w:val="0"/>
          <w:sz w:val="20"/>
        </w:rPr>
        <w:t xml:space="preserve">Where Scenic City Insider and Encore are reader-funded and ad-free, </w:t>
      </w:r>
      <w:r>
        <w:rPr>
          <w:b/>
          <w:i w:val="0"/>
          <w:sz w:val="20"/>
        </w:rPr>
        <w:t>MeP is openly, proudly sponsor-supported.</w:t>
      </w:r>
      <w:r>
        <w:rPr>
          <w:i w:val="0"/>
          <w:sz w:val="20"/>
        </w:rPr>
        <w:t xml:space="preserve"> That's the point of the bright line: SCI keeps the company's soul pure, and MeP is the joyful, sponsorable passion title that can earn from issue one. The discipline that keeps it honest is </w:t>
      </w:r>
      <w:r>
        <w:rPr>
          <w:b/>
          <w:i w:val="0"/>
          <w:sz w:val="20"/>
        </w:rPr>
        <w:t>'the line'</w:t>
      </w:r>
      <w:r>
        <w:rPr>
          <w:i w:val="0"/>
          <w:sz w:val="20"/>
        </w:rPr>
        <w:t>: sponsors are always labeled, the picks are *never for sale*, and celebratory never means paid. The reader trusts MeP because the celebration is earned, not bought.</w:t>
      </w:r>
    </w:p>
    <w:p>
      <w:pPr>
        <w:spacing w:after="120"/>
      </w:pPr>
      <w:r>
        <w:rPr>
          <w:b/>
          <w:i w:val="0"/>
          <w:sz w:val="20"/>
        </w:rPr>
        <w:t>Two truths shape the model:</w:t>
      </w:r>
      <w:r>
        <w:rPr>
          <w:i w:val="0"/>
          <w:sz w:val="20"/>
        </w:rPr>
        <w:t xml:space="preserve"> (1) the real margin is in </w:t>
      </w:r>
      <w:r>
        <w:rPr>
          <w:b/>
          <w:i w:val="0"/>
          <w:sz w:val="20"/>
        </w:rPr>
        <w:t>events</w:t>
      </w:r>
      <w:r>
        <w:rPr>
          <w:i w:val="0"/>
          <w:sz w:val="20"/>
        </w:rPr>
        <w:t xml:space="preserve">, not banner ads — restaurants are thin ad payers, but tasting dinners and classes are high-margin and on-brand; (2) Tennessee's </w:t>
      </w:r>
      <w:r>
        <w:rPr>
          <w:b/>
          <w:i w:val="0"/>
          <w:sz w:val="20"/>
        </w:rPr>
        <w:t>no-chain-liquor law</w:t>
      </w:r>
      <w:r>
        <w:rPr>
          <w:i w:val="0"/>
          <w:sz w:val="20"/>
        </w:rPr>
        <w:t xml:space="preserve"> gives MeP a structurally local anchor sponsor base (~20–30 owner-run bottle shops) most cities don't have.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The revenue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331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73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Who pays</w:t>
            </w:r>
          </w:p>
        </w:tc>
        <w:tc>
          <w:tcPr>
            <w:tcW w:type="dxa" w:w="216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232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Events (the engine)</w:t>
            </w:r>
          </w:p>
        </w:tc>
        <w:tc>
          <w:tcPr>
            <w:tcW w:type="dxa" w:w="331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Supper clubs, tasting dinners, classes, trips</w:t>
            </w:r>
          </w:p>
        </w:tc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Attendees (+ host partners)</w:t>
            </w:r>
          </w:p>
        </w:tc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profit center — highest margin, most on-brand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Sponsorship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Presenting + category slots, labeled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Bottle shops, distilleries, restaurants, cookware, roasters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Recurring base; bottle shops anchor it</w:t>
            </w:r>
          </w:p>
        </w:tc>
      </w:tr>
      <w:tr>
        <w:tc>
          <w:tcPr>
            <w:tcW w:type="dxa" w:w="2232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Supper Club membership (light)</w:t>
            </w:r>
          </w:p>
        </w:tc>
        <w:tc>
          <w:tcPr>
            <w:tcW w:type="dxa" w:w="331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First-seat priority + perks (optional)</w:t>
            </w:r>
          </w:p>
        </w:tc>
        <w:tc>
          <w:tcPr>
            <w:tcW w:type="dxa" w:w="273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Regulars</w:t>
            </w:r>
          </w:p>
        </w:tc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Predictable trickle + locks in the superfans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Commerce &amp; the flywheel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book, merch, partner classes; podcast halo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Readers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Modest margin + authority &amp; reach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Events — the engine (illustrative economics)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888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Shape</w:t>
            </w:r>
          </w:p>
        </w:tc>
        <w:tc>
          <w:tcPr>
            <w:tcW w:type="dxa" w:w="417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Economics</w:t>
            </w:r>
          </w:p>
        </w:tc>
      </w:tr>
      <w:tr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The Supper Club</w:t>
            </w:r>
          </w:p>
        </w:tc>
        <w:tc>
          <w:tcPr>
            <w:tcW w:type="dxa" w:w="388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20–40 seats, a shop/somm + a kitchen (the Bill Reed / Pedestrian model), monthly-ish</w:t>
            </w:r>
          </w:p>
        </w:tc>
        <w:tc>
          <w:tcPr>
            <w:tcW w:type="dxa" w:w="417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~$100–150/seat; partner supplies wine/food at cost or rev-share; ~$1–1.5K net/night + the week's best content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Classes &amp; tastings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12–24 people; wine, whiskey, cheese, pairing</w:t>
            </w:r>
          </w:p>
        </w:tc>
        <w:tc>
          <w:tcPr>
            <w:tcW w:type="dxa" w:w="41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~$50–90/seat; you lead them (WSET/bourbon creds); high margin</w:t>
            </w:r>
          </w:p>
        </w:tc>
      </w:tr>
      <w:tr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7"/>
              </w:rPr>
              <w:t>From-the-Source trips</w:t>
            </w:r>
          </w:p>
        </w:tc>
        <w:tc>
          <w:tcPr>
            <w:tcW w:type="dxa" w:w="3888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Small group; a region or distillery weekend</w:t>
            </w:r>
          </w:p>
        </w:tc>
        <w:tc>
          <w:tcPr>
            <w:tcW w:type="dxa" w:w="417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Premium ticket; members pay for access, you host — a clean business event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Sponsorship — real but shallow; anchor it on bottle shops</w:t>
      </w:r>
    </w:p>
    <w:p>
      <w:pPr>
        <w:spacing w:after="120"/>
      </w:pPr>
      <w:r>
        <w:rPr>
          <w:i w:val="0"/>
          <w:sz w:val="20"/>
        </w:rPr>
        <w:t xml:space="preserve">Realistic pool: ~20–40 viable local cash sponsors, of which maybe 15–30 buy at modest regional rates. Package a </w:t>
      </w:r>
      <w:r>
        <w:rPr>
          <w:b/>
          <w:i w:val="0"/>
          <w:sz w:val="20"/>
        </w:rPr>
        <w:t>presenting sponsor</w:t>
      </w:r>
      <w:r>
        <w:rPr>
          <w:i w:val="0"/>
          <w:sz w:val="20"/>
        </w:rPr>
        <w:t xml:space="preserve"> (rotating bottle shop) + a few </w:t>
      </w:r>
      <w:r>
        <w:rPr>
          <w:b/>
          <w:i w:val="0"/>
          <w:sz w:val="20"/>
        </w:rPr>
        <w:t>category slots</w:t>
      </w:r>
      <w:r>
        <w:rPr>
          <w:i w:val="0"/>
          <w:sz w:val="20"/>
        </w:rPr>
        <w:t xml:space="preserve"> (a distillery, a cookware shop, a roaster, a restaurant) + </w:t>
      </w:r>
      <w:r>
        <w:rPr>
          <w:b/>
          <w:i w:val="0"/>
          <w:sz w:val="20"/>
        </w:rPr>
        <w:t>Supper Club partner</w:t>
      </w:r>
      <w:r>
        <w:rPr>
          <w:i w:val="0"/>
          <w:sz w:val="20"/>
        </w:rPr>
        <w:t xml:space="preserve"> of the month. Keep manufacturer (brewery/distillery) and retailer (bottle shop) slots separate for tied-house compliance.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Illustrative three-year sketch (conservative, lifestyle-scale)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44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Free list</w:t>
            </w:r>
          </w:p>
        </w:tc>
        <w:tc>
          <w:tcPr>
            <w:tcW w:type="dxa" w:w="1584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Sponsorship</w:t>
            </w:r>
          </w:p>
        </w:tc>
        <w:tc>
          <w:tcPr>
            <w:tcW w:type="dxa" w:w="1440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Events</w:t>
            </w:r>
          </w:p>
        </w:tc>
        <w:tc>
          <w:tcPr>
            <w:tcW w:type="dxa" w:w="2016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Commerce/flywheel</w:t>
            </w:r>
          </w:p>
        </w:tc>
        <w:tc>
          <w:tcPr>
            <w:tcW w:type="dxa" w:w="1632"/>
            <w:shd w:val="clear" w:color="auto" w:fill="6E2B3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Total (illustrative)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1 · Build + first events</w:t>
            </w:r>
          </w:p>
        </w:tc>
        <w:tc>
          <w:tcPr>
            <w:tcW w:type="dxa" w:w="14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~2,000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~$10K</w:t>
            </w:r>
          </w:p>
        </w:tc>
        <w:tc>
          <w:tcPr>
            <w:tcW w:type="dxa" w:w="14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~$15K</w:t>
            </w:r>
          </w:p>
        </w:tc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~$5K</w:t>
            </w:r>
          </w:p>
        </w:tc>
        <w:tc>
          <w:tcPr>
            <w:tcW w:type="dxa" w:w="163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~$30K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2 · Cadence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~5,000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~$30K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~$50K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~$10K</w:t>
            </w:r>
          </w:p>
        </w:tc>
        <w:tc>
          <w:tcPr>
            <w:tcW w:type="dxa" w:w="163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~$90K</w:t>
            </w:r>
          </w:p>
        </w:tc>
      </w:tr>
      <w:tr>
        <w:tc>
          <w:tcPr>
            <w:tcW w:type="dxa" w:w="2160"/>
            <w:shd w:val="clear" w:color="auto" w:fill="FAF4E9"/>
          </w:tcPr>
          <w:p>
            <w:pPr>
              <w:jc w:val="left"/>
            </w:pPr>
            <w:r/>
            <w:r>
              <w:rPr>
                <w:b/>
                <w:color w:val="2A2420"/>
                <w:sz w:val="16"/>
              </w:rPr>
              <w:t>3 · Established</w:t>
            </w:r>
          </w:p>
        </w:tc>
        <w:tc>
          <w:tcPr>
            <w:tcW w:type="dxa" w:w="14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~8,000</w:t>
            </w:r>
          </w:p>
        </w:tc>
        <w:tc>
          <w:tcPr>
            <w:tcW w:type="dxa" w:w="1584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~$50K</w:t>
            </w:r>
          </w:p>
        </w:tc>
        <w:tc>
          <w:tcPr>
            <w:tcW w:type="dxa" w:w="1440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~$90K</w:t>
            </w:r>
          </w:p>
        </w:tc>
        <w:tc>
          <w:tcPr>
            <w:tcW w:type="dxa" w:w="2016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~$20K</w:t>
            </w:r>
          </w:p>
        </w:tc>
        <w:tc>
          <w:tcPr>
            <w:tcW w:type="dxa" w:w="1632"/>
            <w:shd w:val="clear" w:color="auto" w:fill="FAF4E9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~$160K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6B5F53"/>
          <w:sz w:val="19"/>
        </w:rPr>
        <w:t xml:space="preserve">MeP is a </w:t>
      </w:r>
      <w:r>
        <w:rPr>
          <w:b/>
          <w:i/>
          <w:color w:val="6B5F53"/>
          <w:sz w:val="19"/>
        </w:rPr>
        <w:t>wonderful small business, not a scale play</w:t>
      </w:r>
      <w:r>
        <w:rPr>
          <w:i/>
          <w:color w:val="6B5F53"/>
          <w:sz w:val="19"/>
        </w:rPr>
        <w:t xml:space="preserve"> — a devoted few-thousand list, a handful of sponsors, and </w:t>
      </w:r>
      <w:r>
        <w:rPr>
          <w:b/>
          <w:i/>
          <w:color w:val="6B5F53"/>
          <w:sz w:val="19"/>
        </w:rPr>
        <w:t>events as the real income.</w:t>
      </w:r>
      <w:r>
        <w:rPr>
          <w:i/>
          <w:color w:val="6B5F53"/>
          <w:sz w:val="19"/>
        </w:rPr>
        <w:t xml:space="preserve"> It funds the book, throws great parties, deepens the relationships you love, and pays you back in joy as much as dollars. The certifications let *you* lead the rooms, which is what protects the margin.</w:t>
      </w:r>
    </w:p>
    <w:p>
      <w:pPr>
        <w:spacing w:before="240" w:after="60"/>
        <w:pBdr>
          <w:bottom w:val="single" w:sz="6" w:space="2" w:color="B5722E"/>
        </w:pBdr>
      </w:pPr>
      <w:r>
        <w:rPr>
          <w:b/>
          <w:color w:val="6E2B39"/>
          <w:sz w:val="29"/>
        </w:rPr>
        <w:t>Guardrails</w:t>
      </w:r>
    </w:p>
    <w:p>
      <w:pPr>
        <w:pStyle w:val="ListBullet"/>
        <w:spacing w:after="60"/>
      </w:pPr>
      <w:r>
        <w:rPr>
          <w:b/>
          <w:sz w:val="19"/>
        </w:rPr>
        <w:t>Celebratory ≠ paid.</w:t>
      </w:r>
      <w:r>
        <w:rPr>
          <w:sz w:val="19"/>
        </w:rPr>
        <w:t xml:space="preserve"> The one rule that protects the whole thing: you celebrate because it earned it, never because a slot was bought. Label every sponsor.</w:t>
      </w:r>
    </w:p>
    <w:p>
      <w:pPr>
        <w:pStyle w:val="ListBullet"/>
        <w:spacing w:after="60"/>
      </w:pPr>
      <w:r>
        <w:rPr>
          <w:b/>
          <w:sz w:val="19"/>
        </w:rPr>
        <w:t>Alcohol advertising (TABC)</w:t>
      </w:r>
      <w:r>
        <w:rPr>
          <w:sz w:val="19"/>
        </w:rPr>
        <w:t xml:space="preserve"> — email-list promotion by retailers is permitted; separate manufacturer vs. retailer slots; host tastings through the licensed partner. Short TN-attorney check before launch.</w:t>
      </w:r>
    </w:p>
    <w:p>
      <w:pPr>
        <w:pStyle w:val="ListBullet"/>
        <w:spacing w:after="60"/>
      </w:pPr>
      <w:r>
        <w:rPr>
          <w:b/>
          <w:sz w:val="19"/>
        </w:rPr>
        <w:t>Events live or die on partner math</w:t>
      </w:r>
      <w:r>
        <w:rPr>
          <w:sz w:val="19"/>
        </w:rPr>
        <w:t xml:space="preserve"> — price for ~40–50% delivered cost and pre-sell seats; the host kitchen/shop carries the license.</w:t>
      </w:r>
    </w:p>
    <w:p>
      <w:pPr>
        <w:pStyle w:val="ListBullet"/>
        <w:spacing w:after="60"/>
      </w:pPr>
      <w:r>
        <w:rPr>
          <w:b/>
          <w:sz w:val="19"/>
        </w:rPr>
        <w:t>Name vetting</w:t>
      </w:r>
      <w:r>
        <w:rPr>
          <w:sz w:val="19"/>
        </w:rPr>
        <w:t xml:space="preserve"> — 'Mise en Place' is a common culinary term; run the domain + USPTO/TESS pass. Avoid 'The Table' as a feature name (Food as a Verb's brand).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