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6E2B39"/>
          <w:sz w:val="68"/>
        </w:rPr>
        <w:t>Mise en Place</w:t>
      </w:r>
    </w:p>
    <w:p>
      <w:pPr>
        <w:jc w:val="center"/>
      </w:pPr>
      <w:r>
        <w:rPr>
          <w:i/>
          <w:color w:val="2A2420"/>
          <w:sz w:val="28"/>
        </w:rPr>
        <w:t>Chattanooga's wine, beer, bourbon &amp; the table</w:t>
      </w:r>
    </w:p>
    <w:p>
      <w:pPr>
        <w:jc w:val="center"/>
      </w:pPr>
      <w:r>
        <w:rPr>
          <w:i/>
          <w:color w:val="8A7F70"/>
          <w:sz w:val="18"/>
        </w:rPr>
        <w:t>Positioning one-pager  ·  the openly-sponsored companion to Scenic City Insider  ·  project name “MeP” (pending name vetting)</w:t>
      </w:r>
    </w:p>
    <w:p/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The verdict, and the pivot</w:t>
      </w:r>
    </w:p>
    <w:p>
      <w:pPr>
        <w:spacing w:after="120"/>
      </w:pPr>
      <w:r>
        <w:rPr>
          <w:i w:val="0"/>
          <w:sz w:val="20"/>
        </w:rPr>
        <w:t xml:space="preserve">A pressure-test of the Chattanooga market says: </w:t>
      </w:r>
      <w:r>
        <w:rPr>
          <w:b/>
          <w:i w:val="0"/>
          <w:sz w:val="20"/>
        </w:rPr>
        <w:t>a general food newsletter is a weak bet</w:t>
      </w:r>
      <w:r>
        <w:rPr>
          <w:i w:val="0"/>
          <w:sz w:val="20"/>
        </w:rPr>
        <w:t xml:space="preserve"> — that lane is already taken (Food as a Verb, the Times Free Press's paid 'What to Eat Next,' and NOOGAtoday's daily food coverage). But </w:t>
      </w:r>
      <w:r>
        <w:rPr>
          <w:b/>
          <w:i w:val="0"/>
          <w:sz w:val="20"/>
        </w:rPr>
        <w:t>drinks are wide open</w:t>
      </w:r>
      <w:r>
        <w:rPr>
          <w:i w:val="0"/>
          <w:sz w:val="20"/>
        </w:rPr>
        <w:t xml:space="preserve">: there is no dedicated local wine, beer, or bourbon publication, despite a city that genuinely loves all three. So MeP leads with </w:t>
      </w:r>
      <w:r>
        <w:rPr>
          <w:b/>
          <w:i w:val="0"/>
          <w:sz w:val="20"/>
        </w:rPr>
        <w:t>the glass and the table</w:t>
      </w:r>
      <w:r>
        <w:rPr>
          <w:i w:val="0"/>
          <w:sz w:val="20"/>
        </w:rPr>
        <w:t xml:space="preserve"> — wine, beer, bourbon, and the food and hosting around them — not restaurant reviews. The market gap and the founder's real passion point at the same place.</w:t>
      </w:r>
    </w:p>
    <w:p>
      <w:pPr>
        <w:spacing w:after="120"/>
      </w:pPr>
      <w:r>
        <w:rPr>
          <w:b/>
          <w:i/>
          <w:color w:val="6B5F53"/>
          <w:sz w:val="20"/>
        </w:rPr>
        <w:t>The promise, true to the name:</w:t>
      </w:r>
      <w:r>
        <w:rPr>
          <w:i/>
          <w:color w:val="6B5F53"/>
          <w:sz w:val="20"/>
        </w:rPr>
        <w:t xml:space="preserve"> everything in its place. The weekly that gets you ready to drink well, pair well, and host well — calm readiness for the good life at the table.</w:t>
      </w:r>
    </w:p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The bright line with Scenic City Insider</w:t>
      </w:r>
    </w:p>
    <w:p>
      <w:pPr>
        <w:spacing w:after="120"/>
      </w:pPr>
      <w:r>
        <w:rPr>
          <w:i w:val="0"/>
          <w:sz w:val="20"/>
        </w:rPr>
        <w:t xml:space="preserve">MeP sits </w:t>
      </w:r>
      <w:r>
        <w:rPr>
          <w:b/>
          <w:i w:val="0"/>
          <w:sz w:val="20"/>
        </w:rPr>
        <w:t>next to</w:t>
      </w:r>
      <w:r>
        <w:rPr>
          <w:i w:val="0"/>
          <w:sz w:val="20"/>
        </w:rPr>
        <w:t xml:space="preserve"> SCI, never inside it. </w:t>
      </w:r>
      <w:r>
        <w:rPr>
          <w:b/>
          <w:i w:val="0"/>
          <w:sz w:val="20"/>
        </w:rPr>
        <w:t>SCI is the reader-funded soul</w:t>
      </w:r>
      <w:r>
        <w:rPr>
          <w:i w:val="0"/>
          <w:sz w:val="20"/>
        </w:rPr>
        <w:t xml:space="preserve"> of the company — no ads, the reader is the customer. </w:t>
      </w:r>
      <w:r>
        <w:rPr>
          <w:b/>
          <w:i w:val="0"/>
          <w:sz w:val="20"/>
        </w:rPr>
        <w:t>MeP is the openly-sponsored, joyful passion title</w:t>
      </w:r>
      <w:r>
        <w:rPr>
          <w:i w:val="0"/>
          <w:sz w:val="20"/>
        </w:rPr>
        <w:t xml:space="preserve"> — clearly labeled sponsors and ticketed events. Two mastheads, two honest models. SCI may mention a restaurant as part of knowing the city; MeP is the dedicated drinks-and-table obsession with events. Keep them distinct or both blur.</w:t>
      </w:r>
    </w:p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Why it works here — three real advantages</w:t>
      </w:r>
    </w:p>
    <w:p>
      <w:pPr>
        <w:pStyle w:val="ListBullet"/>
        <w:spacing w:after="60"/>
      </w:pPr>
      <w:r>
        <w:rPr>
          <w:b/>
          <w:sz w:val="19"/>
        </w:rPr>
        <w:t>A structural sponsor moat: Tennessee bans liquor-store chains.</w:t>
      </w:r>
      <w:r>
        <w:rPr>
          <w:sz w:val="19"/>
        </w:rPr>
        <w:t xml:space="preserve"> No Total Wine, no Costco wine — so the ~20–30 metro bottle shops are *all locally owned*, competing on curation, and need exactly this curated audience. Several already run tastings (Riverside, Imbibe, Kanku's). That anchor sponsor base wouldn't exist in a chain market.</w:t>
      </w:r>
    </w:p>
    <w:p>
      <w:pPr>
        <w:pStyle w:val="ListBullet"/>
        <w:spacing w:after="60"/>
      </w:pPr>
      <w:r>
        <w:rPr>
          <w:b/>
          <w:sz w:val="19"/>
        </w:rPr>
        <w:t>A deep beer &amp; bourbon scene</w:t>
      </w:r>
      <w:r>
        <w:rPr>
          <w:sz w:val="19"/>
        </w:rPr>
        <w:t xml:space="preserve"> — 12–16 craft breweries plus Chattanooga Whiskey and Gate 11 distillery — widens the sponsor and event-partner base well beyond wine.</w:t>
      </w:r>
    </w:p>
    <w:p>
      <w:pPr>
        <w:pStyle w:val="ListBullet"/>
        <w:spacing w:after="60"/>
      </w:pPr>
      <w:r>
        <w:rPr>
          <w:b/>
          <w:sz w:val="19"/>
        </w:rPr>
        <w:t>A vibrant, credentialed food scene</w:t>
      </w:r>
      <w:r>
        <w:rPr>
          <w:sz w:val="19"/>
        </w:rPr>
        <w:t xml:space="preserve"> (4 Michelin nods; James Beard 2026 semifinalists Niedlov's &amp; Calliope; a packed festival calendar) supplies endless 'where to drink well' content and event partners.</w:t>
      </w:r>
    </w:p>
    <w:p>
      <w:pPr>
        <w:spacing w:after="120"/>
      </w:pPr>
      <w:r>
        <w:rPr>
          <w:i w:val="0"/>
          <w:sz w:val="20"/>
        </w:rPr>
        <w:t xml:space="preserve">And the multiplier: MeP is one of three surfaces of a single personal brand — </w:t>
      </w:r>
      <w:r>
        <w:rPr>
          <w:b/>
          <w:i w:val="0"/>
          <w:sz w:val="20"/>
        </w:rPr>
        <w:t>the book (authority), the podcast (reach + relationships), the newsletter (the hub that owns the list and monetizes it).</w:t>
      </w:r>
      <w:r>
        <w:rPr>
          <w:i w:val="0"/>
          <w:sz w:val="20"/>
        </w:rPr>
        <w:t xml:space="preserve"> Every winemaker, brewer, and shop owner is a guest, a sponsor, and a story.</w:t>
      </w:r>
    </w:p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The money model — three legs, in priority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872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Leg</w:t>
            </w:r>
          </w:p>
        </w:tc>
        <w:tc>
          <w:tcPr>
            <w:tcW w:type="dxa" w:w="3744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032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Why / how it pays</w:t>
            </w:r>
          </w:p>
        </w:tc>
      </w:tr>
      <w:tr>
        <w:tc>
          <w:tcPr>
            <w:tcW w:type="dxa" w:w="1872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1 · Events (the engine)</w:t>
            </w:r>
          </w:p>
        </w:tc>
        <w:tc>
          <w:tcPr>
            <w:tcW w:type="dxa" w:w="3744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Ticketed tasting dinners, wine/whiskey classes, brewery &amp; maker collaborations</w:t>
            </w:r>
          </w:p>
        </w:tc>
        <w:tc>
          <w:tcPr>
            <w:tcW w:type="dxa" w:w="403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Highest margin, most on-brand; partner with a bottle shop + chef who supply at cost or rev-share. Illustrative: a 24-seat dinner at ~$125 ≈ $3K gross.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2 · Sponsorship (recurring 2nd)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Presenting sponsor + category slots, anchored by bottle shops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~15–30 realistic local buyers at modest regional rates; bottle shops are the spine, with cookware, cheese, coffee, a distillery in support.</w:t>
            </w:r>
          </w:p>
        </w:tc>
      </w:tr>
      <w:tr>
        <w:tc>
          <w:tcPr>
            <w:tcW w:type="dxa" w:w="1872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3 · The flywheel</w:t>
            </w:r>
          </w:p>
        </w:tc>
        <w:tc>
          <w:tcPr>
            <w:tcW w:type="dxa" w:w="3744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Book + podcast feeding the newsletter</w:t>
            </w:r>
          </w:p>
        </w:tc>
        <w:tc>
          <w:tcPr>
            <w:tcW w:type="dxa" w:w="403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Authority, reach, and the relationships that become sponsors and event partners. The list is the owned asset.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/>
          <w:color w:val="6B5F53"/>
          <w:sz w:val="19"/>
        </w:rPr>
        <w:t>Honest scale:</w:t>
      </w:r>
      <w:r>
        <w:rPr>
          <w:i/>
          <w:color w:val="6B5F53"/>
          <w:sz w:val="19"/>
        </w:rPr>
        <w:t xml:space="preserve"> a lifestyle-scale business — a devoted few-thousand list, 15–30 modest sponsors, and </w:t>
      </w:r>
      <w:r>
        <w:rPr>
          <w:b/>
          <w:i/>
          <w:color w:val="6B5F53"/>
          <w:sz w:val="19"/>
        </w:rPr>
        <w:t>events as the real income.</w:t>
      </w:r>
      <w:r>
        <w:rPr>
          <w:i/>
          <w:color w:val="6B5F53"/>
          <w:sz w:val="19"/>
        </w:rPr>
        <w:t xml:space="preserve"> Pure sponsorship alone rates Moderate; the blend (esp. events) rates Moderate-to-Strong.</w:t>
      </w:r>
    </w:p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The sponsor &amp; event-partner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08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Tier</w:t>
            </w:r>
          </w:p>
        </w:tc>
        <w:tc>
          <w:tcPr>
            <w:tcW w:type="dxa" w:w="2448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6192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Who (real local examples)</w:t>
            </w:r>
          </w:p>
        </w:tc>
      </w:tr>
      <w:tr>
        <w:tc>
          <w:tcPr>
            <w:tcW w:type="dxa" w:w="1008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6"/>
              </w:rPr>
              <w:t>Tier 1</w:t>
            </w:r>
          </w:p>
        </w:tc>
        <w:tc>
          <w:tcPr>
            <w:tcW w:type="dxa" w:w="2448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Recurring cash sponsors</w:t>
            </w:r>
          </w:p>
        </w:tc>
        <w:tc>
          <w:tcPr>
            <w:tcW w:type="dxa" w:w="619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Bottle shops (Riverside, Imbibe, Kanku's, Northshore, East Brainerd) · distilleries (Chattanooga Whiskey, Gate 11) · cookware (Good Kinsmen, The Kitchen Collection) · Bleu Fox cheese · coffee roasters (Velo, Goodman) · Niedlov's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A2420"/>
                <w:sz w:val="16"/>
              </w:rPr>
              <w:t>Tier 2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Paid-event co-hosts</w:t>
            </w:r>
          </w:p>
        </w:tc>
        <w:tc>
          <w:tcPr>
            <w:tcW w:type="dxa" w:w="619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Breweries (Chattanooga Brewing, Hutton &amp; Smith, Naked River…) · wineries (Lookout, Georgia Winery, Beans Creek) · cooking schools (PastaNooga, Sweet &amp; Savory) · caterers/private chefs · festivals (SIPTN Wine Fest, Bacon &amp; Barrel)</w:t>
            </w:r>
          </w:p>
        </w:tc>
      </w:tr>
      <w:tr>
        <w:tc>
          <w:tcPr>
            <w:tcW w:type="dxa" w:w="1008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6"/>
              </w:rPr>
              <w:t>Tier 3</w:t>
            </w:r>
          </w:p>
        </w:tc>
        <w:tc>
          <w:tcPr>
            <w:tcW w:type="dxa" w:w="2448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Content / relationship partners</w:t>
            </w:r>
          </w:p>
        </w:tc>
        <w:tc>
          <w:tcPr>
            <w:tcW w:type="dxa" w:w="619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Farms &amp; CSAs, Chattanooga Market &amp; Main Street Farmers Market, Crabtree Farms, micro-makers — credibility &amp; stories, not reliable cash</w:t>
            </w:r>
          </w:p>
        </w:tc>
      </w:tr>
    </w:tbl>
    <w:p>
      <w:pPr>
        <w:spacing w:after="40"/>
      </w:pPr>
    </w:p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The weekly — content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16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632"/>
            <w:shd w:val="clear" w:color="auto" w:fill="6E2B39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point of view</w:t>
            </w:r>
          </w:p>
        </w:tc>
      </w:tr>
      <w:tr>
        <w:tc>
          <w:tcPr>
            <w:tcW w:type="dxa" w:w="2016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The Pour</w:t>
            </w:r>
          </w:p>
        </w:tc>
        <w:tc>
          <w:tcPr>
            <w:tcW w:type="dxa" w:w="763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wine, beer, or bourbon worth seeking this week — a pick or a theme, with a real reason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The Shop / The Maker</w:t>
            </w:r>
          </w:p>
        </w:tc>
        <w:tc>
          <w:tcPr>
            <w:tcW w:type="dxa" w:w="76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people behind the counter and the bottle — a featured bottle shop, brewer, distiller, or monger (the founder's 'got out of the house' joy)</w:t>
            </w:r>
          </w:p>
        </w:tc>
      </w:tr>
      <w:tr>
        <w:tc>
          <w:tcPr>
            <w:tcW w:type="dxa" w:w="2016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What's Pouring</w:t>
            </w:r>
          </w:p>
        </w:tc>
        <w:tc>
          <w:tcPr>
            <w:tcW w:type="dxa" w:w="763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Seasonal — what to drink now, and what's new on local shelves &amp; taps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The Table</w:t>
            </w:r>
          </w:p>
        </w:tc>
        <w:tc>
          <w:tcPr>
            <w:tcW w:type="dxa" w:w="76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food halo — a pairing, a dish, or where to drink well (Michelin/Beard rooms)</w:t>
            </w:r>
          </w:p>
        </w:tc>
      </w:tr>
      <w:tr>
        <w:tc>
          <w:tcPr>
            <w:tcW w:type="dxa" w:w="2016"/>
            <w:shd w:val="clear" w:color="auto" w:fill="FAF4E9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Host This</w:t>
            </w:r>
          </w:p>
        </w:tc>
        <w:tc>
          <w:tcPr>
            <w:tcW w:type="dxa" w:w="7632"/>
            <w:shd w:val="clear" w:color="auto" w:fill="FAF4E9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 hosting/pairing tip for entertaining — 'mise en place' made practical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A2420"/>
                <w:sz w:val="17"/>
              </w:rPr>
              <w:t>The Calendar</w:t>
            </w:r>
          </w:p>
        </w:tc>
        <w:tc>
          <w:tcPr>
            <w:tcW w:type="dxa" w:w="76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Upcoming tastings, dinners, releases &amp; festivals — the events that also monetize</w:t>
            </w:r>
          </w:p>
        </w:tc>
      </w:tr>
    </w:tbl>
    <w:p>
      <w:pPr>
        <w:spacing w:after="40"/>
      </w:pPr>
    </w:p>
    <w:p>
      <w:pPr>
        <w:spacing w:before="240" w:after="60"/>
        <w:pBdr>
          <w:bottom w:val="single" w:sz="6" w:space="2" w:color="B5722E"/>
        </w:pBdr>
      </w:pPr>
      <w:r>
        <w:rPr>
          <w:b/>
          <w:color w:val="6E2B39"/>
          <w:sz w:val="29"/>
        </w:rPr>
        <w:t>Guardrails</w:t>
      </w:r>
    </w:p>
    <w:p>
      <w:pPr>
        <w:pStyle w:val="ListBullet"/>
        <w:spacing w:after="60"/>
      </w:pPr>
      <w:r>
        <w:rPr>
          <w:b/>
          <w:sz w:val="19"/>
        </w:rPr>
        <w:t>Alcohol advertising is regulated (TABC).</w:t>
      </w:r>
      <w:r>
        <w:rPr>
          <w:sz w:val="19"/>
        </w:rPr>
        <w:t xml:space="preserve"> Good news: the rules </w:t>
      </w:r>
      <w:r>
        <w:rPr>
          <w:b/>
          <w:sz w:val="19"/>
        </w:rPr>
        <w:t>explicitly permit email-list promotion</w:t>
      </w:r>
      <w:r>
        <w:rPr>
          <w:sz w:val="19"/>
        </w:rPr>
        <w:t xml:space="preserve"> by wine/spirits retailers — favorable for the bottle-shop model. Cautions: keep </w:t>
      </w:r>
      <w:r>
        <w:rPr>
          <w:b/>
          <w:sz w:val="19"/>
        </w:rPr>
        <w:t>manufacturer (brewery/distillery) money separate from retailer (bottle-shop) slots</w:t>
      </w:r>
      <w:r>
        <w:rPr>
          <w:sz w:val="19"/>
        </w:rPr>
        <w:t xml:space="preserve"> (tied-house rules); host tastings </w:t>
      </w:r>
      <w:r>
        <w:rPr>
          <w:b/>
          <w:sz w:val="19"/>
        </w:rPr>
        <w:t>through the licensed partner</w:t>
      </w:r>
      <w:r>
        <w:rPr>
          <w:sz w:val="19"/>
        </w:rPr>
        <w:t xml:space="preserve"> so the license sits with them. A short TN-attorney check before launch.</w:t>
      </w:r>
    </w:p>
    <w:p>
      <w:pPr>
        <w:pStyle w:val="ListBullet"/>
        <w:spacing w:after="60"/>
      </w:pPr>
      <w:r>
        <w:rPr>
          <w:b/>
          <w:sz w:val="19"/>
        </w:rPr>
        <w:t>Don't drift back to general food.</w:t>
      </w:r>
      <w:r>
        <w:rPr>
          <w:sz w:val="19"/>
        </w:rPr>
        <w:t xml:space="preserve"> The moment MeP becomes 'another Chattanooga food newsletter,' it's the weakest of four. Drinks-and-table, with food as the halo.</w:t>
      </w:r>
    </w:p>
    <w:p>
      <w:pPr>
        <w:pStyle w:val="ListBullet"/>
        <w:spacing w:after="60"/>
      </w:pPr>
      <w:r>
        <w:rPr>
          <w:b/>
          <w:sz w:val="19"/>
        </w:rPr>
        <w:t>Small-market ceiling</w:t>
      </w:r>
      <w:r>
        <w:rPr>
          <w:sz w:val="19"/>
        </w:rPr>
        <w:t xml:space="preserve"> — lean on the events margin, not premium ad rates.</w:t>
      </w:r>
    </w:p>
    <w:p>
      <w:pPr>
        <w:pStyle w:val="ListBullet"/>
        <w:spacing w:after="60"/>
      </w:pPr>
      <w:r>
        <w:rPr>
          <w:b/>
          <w:sz w:val="19"/>
        </w:rPr>
        <w:t>Name vetting</w:t>
      </w:r>
      <w:r>
        <w:rPr>
          <w:sz w:val="19"/>
        </w:rPr>
        <w:t xml:space="preserve"> — 'Mise en Place' is a common culinary term (catering/meal-prep businesses use it). Run the same domain + USPTO/TESS pass we used for SCI before committing; 'MeP' is a working name only.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