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4B"/>
          <w:sz w:val="54"/>
        </w:rPr>
        <w:t>BRIEF SCOUT MEDIA</w:t>
      </w:r>
    </w:p>
    <w:p>
      <w:pPr>
        <w:jc w:val="center"/>
      </w:pPr>
      <w:r>
        <w:rPr>
          <w:i/>
          <w:color w:val="2A9D8F"/>
          <w:sz w:val="30"/>
        </w:rPr>
        <w:t>The Portfolio — a town, a generation, and a table</w:t>
      </w:r>
    </w:p>
    <w:p>
      <w:pPr>
        <w:jc w:val="center"/>
      </w:pPr>
      <w:r>
        <w:rPr>
          <w:i/>
          <w:color w:val="8A8170"/>
          <w:sz w:val="18"/>
        </w:rPr>
        <w:t>How Scenic City Insider, Encore &amp; Mise en Place roll up  ·  all figures illustrative &amp; conservative</w:t>
      </w:r>
    </w:p>
    <w:p/>
    <w:p>
      <w:pPr>
        <w:spacing w:before="240" w:after="60"/>
        <w:pBdr>
          <w:bottom w:val="single" w:sz="6" w:space="2" w:color="2A9D8F"/>
        </w:pBdr>
      </w:pPr>
      <w:r>
        <w:rPr>
          <w:b/>
          <w:color w:val="1B3A4B"/>
          <w:sz w:val="29"/>
        </w:rPr>
        <w:t>One company, three audiences</w:t>
      </w:r>
    </w:p>
    <w:p>
      <w:pPr>
        <w:spacing w:after="120"/>
      </w:pPr>
      <w:r>
        <w:rPr>
          <w:i w:val="0"/>
          <w:sz w:val="20"/>
        </w:rPr>
        <w:t xml:space="preserve">Brief Scout Media isn't one product — it's a small house of titles on shared infrastructure, each serving a different audience with a different model. The discipline that holds it together is the </w:t>
      </w:r>
      <w:r>
        <w:rPr>
          <w:b/>
          <w:i w:val="0"/>
          <w:sz w:val="20"/>
        </w:rPr>
        <w:t>bright line</w:t>
      </w:r>
      <w:r>
        <w:rPr>
          <w:i w:val="0"/>
          <w:sz w:val="20"/>
        </w:rPr>
        <w:t>: the reader-funded titles keep their souls ad-free, and the sponsored title is openly, honestly sponsored. Same values, different engines.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4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34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 promise</w:t>
            </w:r>
          </w:p>
        </w:tc>
      </w:tr>
      <w:tr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Scenic City Insider</w:t>
            </w:r>
          </w:p>
        </w:tc>
        <w:tc>
          <w:tcPr>
            <w:tcW w:type="dxa" w:w="34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town — Chattanooga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Reader-funded, no ads</w:t>
            </w:r>
          </w:p>
        </w:tc>
        <w:tc>
          <w:tcPr>
            <w:tcW w:type="dxa" w:w="34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Know the city deeply; the reader is the customer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Encore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generation — accomplished 55–75, national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Reader-funded, no ads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 what's next; members are the only customer</w:t>
            </w:r>
          </w:p>
        </w:tc>
      </w:tr>
      <w:tr>
        <w:tc>
          <w:tcPr>
            <w:tcW w:type="dxa" w:w="2232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Mise en Place</w:t>
            </w:r>
          </w:p>
        </w:tc>
        <w:tc>
          <w:tcPr>
            <w:tcW w:type="dxa" w:w="34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table — Chattanooga food &amp; drink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Openly sponsored + events</w:t>
            </w:r>
          </w:p>
        </w:tc>
        <w:tc>
          <w:tcPr>
            <w:tcW w:type="dxa" w:w="34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Eat &amp; drink well; sponsors labeled, picks never for sale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470"/>
          <w:sz w:val="19"/>
        </w:rPr>
        <w:t>Two reader-funded titles for trust and depth; one sponsored title for cash flow and joy. The sponsored engine can even help fund the patient ones.</w:t>
      </w:r>
    </w:p>
    <w:p>
      <w:pPr>
        <w:spacing w:before="240" w:after="60"/>
        <w:pBdr>
          <w:bottom w:val="single" w:sz="6" w:space="2" w:color="2A9D8F"/>
        </w:pBdr>
      </w:pPr>
      <w:r>
        <w:rPr>
          <w:b/>
          <w:color w:val="1B3A4B"/>
          <w:sz w:val="29"/>
        </w:rPr>
        <w:t>The combined revenue shape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10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ortfolio_r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A8170"/>
          <w:sz w:val="17"/>
        </w:rPr>
        <w:t>Illustrative, conservative — Encore is the scale driver, MeP the early local cash flow, SCI the patient premium soul.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15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SCI</w:t>
            </w:r>
          </w:p>
        </w:tc>
        <w:tc>
          <w:tcPr>
            <w:tcW w:type="dxa" w:w="172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Encore</w:t>
            </w:r>
          </w:p>
        </w:tc>
        <w:tc>
          <w:tcPr>
            <w:tcW w:type="dxa" w:w="15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MeP</w:t>
            </w:r>
          </w:p>
        </w:tc>
        <w:tc>
          <w:tcPr>
            <w:tcW w:type="dxa" w:w="27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Combined (illustrative)</w:t>
            </w:r>
          </w:p>
        </w:tc>
      </w:tr>
      <w:tr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Year 1</w:t>
            </w:r>
          </w:p>
        </w:tc>
        <w:tc>
          <w:tcPr>
            <w:tcW w:type="dxa" w:w="15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~$0 (build)</w:t>
            </w:r>
          </w:p>
        </w:tc>
        <w:tc>
          <w:tcPr>
            <w:tcW w:type="dxa" w:w="172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~$65K</w:t>
            </w:r>
          </w:p>
        </w:tc>
        <w:tc>
          <w:tcPr>
            <w:tcW w:type="dxa" w:w="15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~$30K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~$95K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Year 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~$50K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~$360K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~$90K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~$500K</w:t>
            </w:r>
          </w:p>
        </w:tc>
      </w:tr>
      <w:tr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7"/>
              </w:rPr>
              <w:t>Year 3</w:t>
            </w:r>
          </w:p>
        </w:tc>
        <w:tc>
          <w:tcPr>
            <w:tcW w:type="dxa" w:w="15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~$150K</w:t>
            </w:r>
          </w:p>
        </w:tc>
        <w:tc>
          <w:tcPr>
            <w:tcW w:type="dxa" w:w="172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~$950K</w:t>
            </w:r>
          </w:p>
        </w:tc>
        <w:tc>
          <w:tcPr>
            <w:tcW w:type="dxa" w:w="15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~$160K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~$1.26M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color w:val="5A6470"/>
          <w:sz w:val="19"/>
        </w:rPr>
        <w:t xml:space="preserve">Read it as shape, not forecast. Each title's revenue lives in its own model doc; this simply stacks them. </w:t>
      </w:r>
      <w:r>
        <w:rPr>
          <w:b/>
          <w:i w:val="0"/>
          <w:color w:val="5A6470"/>
          <w:sz w:val="19"/>
        </w:rPr>
        <w:t>Encore carries the ceiling</w:t>
      </w:r>
      <w:r>
        <w:rPr>
          <w:i w:val="0"/>
          <w:color w:val="5A6470"/>
          <w:sz w:val="19"/>
        </w:rPr>
        <w:t xml:space="preserve"> (national + affluent + events), </w:t>
      </w:r>
      <w:r>
        <w:rPr>
          <w:b/>
          <w:i w:val="0"/>
          <w:color w:val="5A6470"/>
          <w:sz w:val="19"/>
        </w:rPr>
        <w:t>MeP delivers early local cash and joy</w:t>
      </w:r>
      <w:r>
        <w:rPr>
          <w:i w:val="0"/>
          <w:color w:val="5A6470"/>
          <w:sz w:val="19"/>
        </w:rPr>
        <w:t xml:space="preserve">, </w:t>
      </w:r>
      <w:r>
        <w:rPr>
          <w:b/>
          <w:i w:val="0"/>
          <w:color w:val="5A6470"/>
          <w:sz w:val="19"/>
        </w:rPr>
        <w:t>SCI compounds slowly toward its 200×$1,000 premium core.</w:t>
      </w:r>
    </w:p>
    <w:p>
      <w:r>
        <w:br w:type="page"/>
      </w:r>
    </w:p>
    <w:p>
      <w:pPr>
        <w:spacing w:before="240" w:after="60"/>
        <w:pBdr>
          <w:bottom w:val="single" w:sz="6" w:space="2" w:color="2A9D8F"/>
        </w:pBdr>
      </w:pPr>
      <w:r>
        <w:rPr>
          <w:b/>
          <w:color w:val="1B3A4B"/>
          <w:sz w:val="29"/>
        </w:rPr>
        <w:t>Shared infrastructure — why a house beats three startups</w:t>
      </w:r>
    </w:p>
    <w:p>
      <w:pPr>
        <w:pStyle w:val="ListBullet"/>
        <w:spacing w:after="60"/>
      </w:pPr>
      <w:r>
        <w:rPr>
          <w:b/>
          <w:sz w:val="19"/>
        </w:rPr>
        <w:t>One production system</w:t>
      </w:r>
      <w:r>
        <w:rPr>
          <w:sz w:val="19"/>
        </w:rPr>
        <w:t xml:space="preserve"> — the HITL + AI workflow and the Scouts-and-Nerds research pipeline serve all three titles.</w:t>
      </w:r>
    </w:p>
    <w:p>
      <w:pPr>
        <w:pStyle w:val="ListBullet"/>
        <w:spacing w:after="60"/>
      </w:pPr>
      <w:r>
        <w:rPr>
          <w:b/>
          <w:sz w:val="19"/>
        </w:rPr>
        <w:t>One stack</w:t>
      </w:r>
      <w:r>
        <w:rPr>
          <w:sz w:val="19"/>
        </w:rPr>
        <w:t xml:space="preserve"> — beehiiv, the brand toolkit, the events playbook, the membership plumbing — built once, reused.</w:t>
      </w:r>
    </w:p>
    <w:p>
      <w:pPr>
        <w:pStyle w:val="ListBullet"/>
        <w:spacing w:after="60"/>
      </w:pPr>
      <w:r>
        <w:rPr>
          <w:b/>
          <w:sz w:val="19"/>
        </w:rPr>
        <w:t>Cross-pollination</w:t>
      </w:r>
      <w:r>
        <w:rPr>
          <w:sz w:val="19"/>
        </w:rPr>
        <w:t xml:space="preserve"> — SCI and MeP share Chattanooga ground (cross-promote freely); Encore brings the national, affluent reach. A reader can belong to more than one.</w:t>
      </w:r>
    </w:p>
    <w:p>
      <w:pPr>
        <w:pStyle w:val="ListBullet"/>
        <w:spacing w:after="60"/>
      </w:pPr>
      <w:r>
        <w:rPr>
          <w:b/>
          <w:sz w:val="19"/>
        </w:rPr>
        <w:t>One founder voice &amp; credibility</w:t>
      </w:r>
      <w:r>
        <w:rPr>
          <w:sz w:val="19"/>
        </w:rPr>
        <w:t xml:space="preserve"> — the retired-CEO-and-author standing underwrites all three; the certifications (WSET/bourbon) feed MeP specifically.</w:t>
      </w:r>
    </w:p>
    <w:p>
      <w:pPr>
        <w:pStyle w:val="ListBullet"/>
        <w:spacing w:after="60"/>
      </w:pPr>
      <w:r>
        <w:rPr>
          <w:b/>
          <w:sz w:val="19"/>
        </w:rPr>
        <w:t>Shared events muscle</w:t>
      </w:r>
      <w:r>
        <w:rPr>
          <w:sz w:val="19"/>
        </w:rPr>
        <w:t xml:space="preserve"> — the dinner/retreat/supper-club operating model transfers across titles.</w:t>
      </w:r>
    </w:p>
    <w:p>
      <w:pPr>
        <w:spacing w:before="240" w:after="60"/>
        <w:pBdr>
          <w:bottom w:val="single" w:sz="6" w:space="2" w:color="2A9D8F"/>
        </w:pBdr>
      </w:pPr>
      <w:r>
        <w:rPr>
          <w:b/>
          <w:color w:val="1B3A4B"/>
          <w:sz w:val="29"/>
        </w:rPr>
        <w:t>The real constraint: founder bandwidth — so sequence it</w:t>
      </w:r>
    </w:p>
    <w:p>
      <w:pPr>
        <w:spacing w:after="120"/>
      </w:pPr>
      <w:r>
        <w:rPr>
          <w:i w:val="0"/>
          <w:sz w:val="20"/>
        </w:rPr>
        <w:t>You cannot run three weeklies, three events calendars, a credential ladder, and a book at once, solo. The portfolio is a *destination*, reached in order. A sensible sequence: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Lead with</w:t>
            </w:r>
          </w:p>
        </w:tc>
        <w:tc>
          <w:tcPr>
            <w:tcW w:type="dxa" w:w="38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Add when ready</w:t>
            </w:r>
          </w:p>
        </w:tc>
      </w:tr>
      <w:tr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Now → Yr 1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Scenic City Insider (the soul)</w:t>
            </w:r>
          </w:p>
        </w:tc>
        <w:tc>
          <w:tcPr>
            <w:tcW w:type="dxa" w:w="38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It's the flagship and the trust engine; patient by design (little Y1 revenue)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 founding-member waitlists for all three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Yr 1 → 2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Mise en Place (cash + joy)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Fastest to revenue (events + sponsors), ties to your passion &amp; certs, shares Chattanooga ground with SCI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 up the Supper Club; begin SCI membership</w:t>
            </w:r>
          </w:p>
        </w:tc>
      </w:tr>
      <w:tr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23282E"/>
                <w:sz w:val="16"/>
              </w:rPr>
              <w:t>Yr 2 → 3</w:t>
            </w:r>
          </w:p>
        </w:tc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Encore (the ceiling)</w:t>
            </w:r>
          </w:p>
        </w:tc>
        <w:tc>
          <w:tcPr>
            <w:tcW w:type="dxa" w:w="3888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Most personal and the biggest revenue ceiling; needs the network and your time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Cohorts, retreats, the Founders' Circle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470"/>
          <w:sz w:val="19"/>
        </w:rPr>
        <w:t>Alternative: if energy pulls you to MeP first (passion + fast cash), lead there and let SCI build alongside — the order is yours; the point is *one at a time gets the founder's full heart*.</w:t>
      </w:r>
    </w:p>
    <w:p>
      <w:pPr>
        <w:spacing w:before="240" w:after="60"/>
        <w:pBdr>
          <w:bottom w:val="single" w:sz="6" w:space="2" w:color="2A9D8F"/>
        </w:pBdr>
      </w:pPr>
      <w:r>
        <w:rPr>
          <w:b/>
          <w:color w:val="1B3A4B"/>
          <w:sz w:val="29"/>
        </w:rPr>
        <w:t>What the house adds up to</w:t>
      </w:r>
    </w:p>
    <w:p>
      <w:pPr>
        <w:spacing w:after="120"/>
      </w:pPr>
      <w:r>
        <w:rPr>
          <w:i w:val="0"/>
          <w:sz w:val="20"/>
        </w:rPr>
        <w:t xml:space="preserve">Three honest titles, two engines, one set of values: </w:t>
      </w:r>
      <w:r>
        <w:rPr>
          <w:b/>
          <w:i w:val="0"/>
          <w:sz w:val="20"/>
        </w:rPr>
        <w:t>a town, a generation, and a table.</w:t>
      </w:r>
      <w:r>
        <w:rPr>
          <w:i w:val="0"/>
          <w:sz w:val="20"/>
        </w:rPr>
        <w:t xml:space="preserve"> Conservatively, the portfolio reaches roughly </w:t>
      </w:r>
      <w:r>
        <w:rPr>
          <w:b/>
          <w:i w:val="0"/>
          <w:sz w:val="20"/>
        </w:rPr>
        <w:t>$1M+ in combined revenue by Year 3</w:t>
      </w:r>
      <w:r>
        <w:rPr>
          <w:i w:val="0"/>
          <w:sz w:val="20"/>
        </w:rPr>
        <w:t xml:space="preserve"> — but the truer measure is that each title is something you'd be proud to make, funded by the people it serves (or by clearly-labeled sponsors who never buy a word). Built once as a house, on shared rails, it's far more achievable than three separate startups — and it's unmistakably yours.</w:t>
      </w:r>
    </w:p>
    <w:p>
      <w:pPr>
        <w:spacing w:after="120"/>
      </w:pPr>
      <w:r>
        <w:rPr>
          <w:i/>
          <w:color w:val="8A8170"/>
          <w:sz w:val="18"/>
        </w:rPr>
        <w:t>Each title's detail lives in its own docs: the business plan &amp; manifesto (SCI), the concept brief &amp; revenue model (Encore), and the one-pager, samples &amp; revenue model (MeP).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