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4B"/>
          <w:sz w:val="68"/>
        </w:rPr>
        <w:t>BRIEF SCOUT MEDIA</w:t>
      </w:r>
    </w:p>
    <w:p>
      <w:pPr>
        <w:jc w:val="center"/>
      </w:pPr>
      <w:r>
        <w:rPr>
          <w:color w:val="2A9D8F"/>
          <w:sz w:val="34"/>
        </w:rPr>
        <w:t>Founder Strategy &amp; Business Plan</w:t>
      </w:r>
    </w:p>
    <w:p/>
    <w:p>
      <w:pPr>
        <w:jc w:val="center"/>
      </w:pPr>
      <w:r>
        <w:rPr>
          <w:i/>
          <w:color w:val="415A6B"/>
          <w:sz w:val="25"/>
        </w:rPr>
        <w:t>Building a reader-funded local media &amp; events company in Chattanooga, Tennessee</w:t>
      </w:r>
    </w:p>
    <w:p>
      <w:pPr>
        <w:jc w:val="center"/>
      </w:pPr>
      <w:r>
        <w:rPr>
          <w:i/>
          <w:color w:val="415A6B"/>
          <w:sz w:val="25"/>
        </w:rPr>
        <w:t>Flagship product: The Scenic City Scout — a weekly digital newsletter</w:t>
      </w:r>
    </w:p>
    <w:p/>
    <w:p/>
    <w:p/>
    <w:p/>
    <w:p/>
    <w:p/>
    <w:p>
      <w:pPr>
        <w:jc w:val="center"/>
      </w:pPr>
      <w:r>
        <w:rPr>
          <w:b/>
          <w:color w:val="E76F51"/>
          <w:sz w:val="24"/>
        </w:rPr>
        <w:t>No advertising. No sponsorship. Funded by members, products, and events.</w:t>
      </w:r>
    </w:p>
    <w:p/>
    <w:p/>
    <w:p/>
    <w:p/>
    <w:p>
      <w:pPr>
        <w:jc w:val="center"/>
      </w:pPr>
      <w:r>
        <w:rPr>
          <w:color w:val="6B7B85"/>
          <w:sz w:val="21"/>
        </w:rPr>
        <w:t>Confidential Working Document  ·  June 2026</w:t>
      </w:r>
    </w:p>
    <w:p>
      <w:r>
        <w:br w:type="page"/>
      </w:r>
    </w:p>
    <w:p>
      <w:pPr>
        <w:spacing w:before="280" w:after="80"/>
        <w:pBdr>
          <w:bottom w:val="single" w:sz="6" w:space="2" w:color="2A9D8F"/>
        </w:pBdr>
      </w:pPr>
      <w:r>
        <w:rPr>
          <w:b/>
          <w:color w:val="1B3A4B"/>
          <w:sz w:val="34"/>
        </w:rPr>
        <w:t>1. Executive Summary</w:t>
      </w:r>
    </w:p>
    <w:p>
      <w:pPr>
        <w:spacing w:after="120"/>
        <w:jc w:val="both"/>
      </w:pPr>
      <w:r>
        <w:rPr>
          <w:b/>
          <w:i w:val="0"/>
          <w:sz w:val="22"/>
        </w:rPr>
        <w:t>Brief Scout Media</w:t>
      </w:r>
      <w:r>
        <w:rPr>
          <w:i w:val="0"/>
          <w:sz w:val="22"/>
        </w:rPr>
        <w:t xml:space="preserve"> is a new local media and events company forming in Chattanooga, Tennessee. Its first product is </w:t>
      </w:r>
      <w:r>
        <w:rPr>
          <w:b/>
          <w:i w:val="0"/>
          <w:sz w:val="22"/>
        </w:rPr>
        <w:t>The Scenic City Scout</w:t>
      </w:r>
      <w:r>
        <w:rPr>
          <w:i w:val="0"/>
          <w:sz w:val="22"/>
        </w:rPr>
        <w:t xml:space="preserve">, a weekly digital newsletter that tells residents what matters and what to do in Chattanooga. The defining strategic choice is what the Scout will </w:t>
      </w:r>
      <w:r>
        <w:rPr>
          <w:b/>
          <w:i w:val="0"/>
          <w:sz w:val="22"/>
        </w:rPr>
        <w:t>not</w:t>
      </w:r>
      <w:r>
        <w:rPr>
          <w:i w:val="0"/>
          <w:sz w:val="22"/>
        </w:rPr>
        <w:t xml:space="preserve"> do: it will not sell advertising or sponsorship inside the newsletter. Instead, Brief Scout Media monetizes its audience directly through three owned revenue pillars — </w:t>
      </w:r>
      <w:r>
        <w:rPr>
          <w:b/>
          <w:i w:val="0"/>
          <w:sz w:val="22"/>
        </w:rPr>
        <w:t>paid membership, product and commerce sales, and live events</w:t>
      </w:r>
      <w:r>
        <w:rPr>
          <w:i w:val="0"/>
          <w:sz w:val="22"/>
        </w:rPr>
        <w:t xml:space="preserve"> (both proprietary and joint-venture).</w:t>
      </w:r>
    </w:p>
    <w:p>
      <w:pPr>
        <w:spacing w:after="120"/>
        <w:jc w:val="both"/>
      </w:pPr>
      <w:r>
        <w:rPr>
          <w:i w:val="0"/>
          <w:sz w:val="22"/>
        </w:rPr>
        <w:t xml:space="preserve">This is a deliberate bet against the dominant local-newsletter playbook. The incumbent in Chattanooga, NOOGAtoday (a 6AM City property), is free and advertising-funded. The legacy daily, the Chattanooga Times Free Press, is a paywalled, mostly-digital newspaper that has publicly acknowledged operating at a loss and raised its price to roughly $39/month. Between a free ad-product and an expensive legacy paywall sits an </w:t>
      </w:r>
      <w:r>
        <w:rPr>
          <w:b/>
          <w:i w:val="0"/>
          <w:sz w:val="22"/>
        </w:rPr>
        <w:t>open lane</w:t>
      </w:r>
      <w:r>
        <w:rPr>
          <w:i w:val="0"/>
          <w:sz w:val="22"/>
        </w:rPr>
        <w:t>: a premium, ad-light, reader-funded local brand with a genuine events franchise. No Axios Local edition and no established paid independent newsletter currently occupies it.</w:t>
      </w:r>
    </w:p>
    <w:p>
      <w:pPr>
        <w:spacing w:after="120"/>
        <w:jc w:val="left"/>
      </w:pPr>
      <w:r>
        <w:rPr>
          <w:b/>
          <w:i w:val="0"/>
          <w:sz w:val="22"/>
        </w:rPr>
        <w:t>Why this can work — the evidence:</w:t>
      </w:r>
    </w:p>
    <w:p>
      <w:pPr>
        <w:pStyle w:val="ListBullet"/>
        <w:spacing w:after="60"/>
      </w:pPr>
      <w:r>
        <w:rPr>
          <w:b/>
          <w:sz w:val="21"/>
        </w:rPr>
        <w:t>Email-first local media demand is proven here.</w:t>
      </w:r>
      <w:r>
        <w:rPr>
          <w:sz w:val="21"/>
        </w:rPr>
        <w:t xml:space="preserve"> NOOGAtoday reports a large local free list (26,500+ as far back as 2020) and the Times Free Press lists 60,000+ newsletter recipients — tens of thousands of Chattanoogans already read local email daily.</w:t>
      </w:r>
    </w:p>
    <w:p>
      <w:pPr>
        <w:pStyle w:val="ListBullet"/>
        <w:spacing w:after="60"/>
      </w:pPr>
      <w:r>
        <w:rPr>
          <w:b/>
          <w:sz w:val="21"/>
        </w:rPr>
        <w:t>Small lists can produce real income without ads.</w:t>
      </w:r>
      <w:r>
        <w:rPr>
          <w:sz w:val="21"/>
        </w:rPr>
        <w:t xml:space="preserve"> Catskill Crew, a hyperlocal newsletter in rural New York, earns roughly $52,000–$57,000 per month at under 20,000 subscribers, at ~85% margin, with zero advertising, across 11 revenue streams (events, merch, a discount card, even a region-themed board game). Charlotte Ledger reached ~$150,000–$175,000/yr on a membership model; Racket (Minneapolis) reported $322,000.</w:t>
      </w:r>
    </w:p>
    <w:p>
      <w:pPr>
        <w:pStyle w:val="ListBullet"/>
        <w:spacing w:after="60"/>
      </w:pPr>
      <w:r>
        <w:rPr>
          <w:b/>
          <w:sz w:val="21"/>
        </w:rPr>
        <w:t>Events are a validated media revenue pillar.</w:t>
      </w:r>
      <w:r>
        <w:rPr>
          <w:sz w:val="21"/>
        </w:rPr>
        <w:t xml:space="preserve"> Events are on pace to be ~50% of TIME's revenue and ~50% of Semafor's; the share of publishers earning meaningful event revenue jumped from 47% to 70% in a single year.</w:t>
      </w:r>
    </w:p>
    <w:p>
      <w:pPr>
        <w:pStyle w:val="ListBullet"/>
        <w:spacing w:after="60"/>
      </w:pPr>
      <w:r>
        <w:rPr>
          <w:b/>
          <w:sz w:val="21"/>
        </w:rPr>
        <w:t>The macro tailwind is strong.</w:t>
      </w:r>
      <w:r>
        <w:rPr>
          <w:sz w:val="21"/>
        </w:rPr>
        <w:t xml:space="preserve"> The U.S. has lost ~3,300 newspapers since 2005 and ~55 million Americans now have limited local news — while reader-funded digital outlets are the fastest-growing bright spot.</w:t>
      </w:r>
    </w:p>
    <w:p>
      <w:pPr>
        <w:pStyle w:val="ListBullet"/>
        <w:spacing w:after="60"/>
      </w:pPr>
      <w:r>
        <w:rPr>
          <w:b/>
          <w:sz w:val="21"/>
        </w:rPr>
        <w:t>The market is growing and affluent enough.</w:t>
      </w:r>
      <w:r>
        <w:rPr>
          <w:sz w:val="21"/>
        </w:rPr>
        <w:t xml:space="preserve"> The Chattanooga metro (~595,000 people) is growing at more than twice the national rate, fueled by higher-income transplants from California and Illinois — a steady stream of newcomers who need exactly what the Scout offers.</w:t>
      </w:r>
    </w:p>
    <w:p>
      <w:pPr>
        <w:spacing w:after="120"/>
        <w:jc w:val="both"/>
      </w:pPr>
      <w:r>
        <w:rPr>
          <w:b/>
          <w:i w:val="0"/>
          <w:sz w:val="22"/>
        </w:rPr>
        <w:t>The financial arc.</w:t>
      </w:r>
      <w:r>
        <w:rPr>
          <w:i w:val="0"/>
          <w:sz w:val="22"/>
        </w:rPr>
        <w:t xml:space="preserve"> Modeled conservatively with no advertising, Brief Scout Media reaches roughly </w:t>
      </w:r>
      <w:r>
        <w:rPr>
          <w:b/>
          <w:i w:val="0"/>
          <w:sz w:val="22"/>
        </w:rPr>
        <w:t>$31K in Year 1</w:t>
      </w:r>
      <w:r>
        <w:rPr>
          <w:i w:val="0"/>
          <w:sz w:val="22"/>
        </w:rPr>
        <w:t xml:space="preserve"> (validation / side-income), </w:t>
      </w:r>
      <w:r>
        <w:rPr>
          <w:b/>
          <w:i w:val="0"/>
          <w:sz w:val="22"/>
        </w:rPr>
        <w:t>~$116K in Year 2</w:t>
      </w:r>
      <w:r>
        <w:rPr>
          <w:i w:val="0"/>
          <w:sz w:val="22"/>
        </w:rPr>
        <w:t xml:space="preserve"> (approaching a full-time income), and </w:t>
      </w:r>
      <w:r>
        <w:rPr>
          <w:b/>
          <w:i w:val="0"/>
          <w:sz w:val="22"/>
        </w:rPr>
        <w:t>~$280K in Year 3</w:t>
      </w:r>
      <w:r>
        <w:rPr>
          <w:i w:val="0"/>
          <w:sz w:val="22"/>
        </w:rPr>
        <w:t xml:space="preserve"> (a full-time founder salary plus a small contractor team and reinvestment). By Year 3 revenue is diversified across membership (~43%), events (~38%), and products (~19%) — the multi-stream structure that research repeatedly ties to local-media sustainability. Startup capital required is modest: roughly </w:t>
      </w:r>
      <w:r>
        <w:rPr>
          <w:b/>
          <w:i w:val="0"/>
          <w:sz w:val="22"/>
        </w:rPr>
        <w:t>$5,000</w:t>
      </w:r>
      <w:r>
        <w:rPr>
          <w:i w:val="0"/>
          <w:sz w:val="22"/>
        </w:rPr>
        <w:t>.</w:t>
      </w:r>
    </w:p>
    <w:p>
      <w:pPr>
        <w:jc w:val="center"/>
      </w:pPr>
      <w:r>
        <w:drawing>
          <wp:inline xmlns:a="http://schemas.openxmlformats.org/drawingml/2006/main" xmlns:pic="http://schemas.openxmlformats.org/drawingml/2006/picture">
            <wp:extent cx="5760720" cy="3397348"/>
            <wp:docPr id="1" name="Picture 1"/>
            <wp:cNvGraphicFramePr>
              <a:graphicFrameLocks noChangeAspect="1"/>
            </wp:cNvGraphicFramePr>
            <a:graphic>
              <a:graphicData uri="http://schemas.openxmlformats.org/drawingml/2006/picture">
                <pic:pic>
                  <pic:nvPicPr>
                    <pic:cNvPr id="0" name="fig_revenue_stack.png"/>
                    <pic:cNvPicPr/>
                  </pic:nvPicPr>
                  <pic:blipFill>
                    <a:blip r:embed="rId9"/>
                    <a:stretch>
                      <a:fillRect/>
                    </a:stretch>
                  </pic:blipFill>
                  <pic:spPr>
                    <a:xfrm>
                      <a:off x="0" y="0"/>
                      <a:ext cx="5760720" cy="3397348"/>
                    </a:xfrm>
                    <a:prstGeom prst="rect"/>
                  </pic:spPr>
                </pic:pic>
              </a:graphicData>
            </a:graphic>
          </wp:inline>
        </w:drawing>
      </w:r>
    </w:p>
    <w:p>
      <w:pPr>
        <w:spacing w:after="240"/>
        <w:jc w:val="center"/>
      </w:pPr>
      <w:r>
        <w:rPr>
          <w:i/>
          <w:color w:val="6B7B85"/>
          <w:sz w:val="17"/>
        </w:rPr>
        <w:t>Figure 1. Projected three-year revenue, built entirely from members, products, and events — no sponsorship.</w:t>
      </w:r>
    </w:p>
    <w:p>
      <w:pPr>
        <w:spacing w:before="280" w:after="80"/>
        <w:pBdr>
          <w:bottom w:val="single" w:sz="6" w:space="2" w:color="2A9D8F"/>
        </w:pBdr>
      </w:pPr>
      <w:r>
        <w:rPr>
          <w:b/>
          <w:color w:val="1B3A4B"/>
          <w:sz w:val="34"/>
        </w:rPr>
        <w:t>2. Company Overview</w:t>
      </w:r>
    </w:p>
    <w:p>
      <w:pPr>
        <w:spacing w:before="200" w:after="80"/>
      </w:pPr>
      <w:r>
        <w:rPr>
          <w:b/>
          <w:color w:val="2A9D8F"/>
          <w:sz w:val="27"/>
        </w:rPr>
        <w:t>2.1 Mission &amp; vision</w:t>
      </w:r>
    </w:p>
    <w:p>
      <w:pPr>
        <w:spacing w:after="120"/>
        <w:jc w:val="left"/>
      </w:pPr>
      <w:r>
        <w:rPr>
          <w:b/>
          <w:i w:val="0"/>
          <w:sz w:val="22"/>
        </w:rPr>
        <w:t>Mission:</w:t>
      </w:r>
      <w:r>
        <w:rPr>
          <w:i w:val="0"/>
          <w:sz w:val="22"/>
        </w:rPr>
        <w:t xml:space="preserve"> Help people love living in Chattanooga by being the most trusted, most useful, and most loved guide to the city — independent of advertisers.</w:t>
      </w:r>
    </w:p>
    <w:p>
      <w:pPr>
        <w:spacing w:after="120"/>
        <w:jc w:val="left"/>
      </w:pPr>
      <w:r>
        <w:rPr>
          <w:b/>
          <w:i w:val="0"/>
          <w:sz w:val="22"/>
        </w:rPr>
        <w:t>Vision:</w:t>
      </w:r>
      <w:r>
        <w:rPr>
          <w:i w:val="0"/>
          <w:sz w:val="22"/>
        </w:rPr>
        <w:t xml:space="preserve"> Build Brief Scout Media into a durable, locally-owned media company whose audience relationship is so strong that readers happily pay for it — and whose events become fixtures on the city's calendar. The Scenic City Scout is product one; the company is designed so the same reader-funded playbook can extend to new verticals (e.g., a dedicated food/dining edition, a newcomer's guide, a kids/family edition) and, eventually, new Southeastern cities.</w:t>
      </w:r>
    </w:p>
    <w:p>
      <w:pPr>
        <w:spacing w:before="200" w:after="80"/>
      </w:pPr>
      <w:r>
        <w:rPr>
          <w:b/>
          <w:color w:val="2A9D8F"/>
          <w:sz w:val="27"/>
        </w:rPr>
        <w:t>2.2 The flagship product — The Scenic City Scout</w:t>
      </w:r>
    </w:p>
    <w:p>
      <w:pPr>
        <w:spacing w:after="120"/>
        <w:jc w:val="left"/>
      </w:pPr>
      <w:r>
        <w:rPr>
          <w:i w:val="0"/>
          <w:sz w:val="22"/>
        </w:rPr>
        <w:t xml:space="preserve">The Scenic City Scout is a </w:t>
      </w:r>
      <w:r>
        <w:rPr>
          <w:b/>
          <w:i w:val="0"/>
          <w:sz w:val="22"/>
        </w:rPr>
        <w:t>weekly</w:t>
      </w:r>
      <w:r>
        <w:rPr>
          <w:i w:val="0"/>
          <w:sz w:val="22"/>
        </w:rPr>
        <w:t xml:space="preserve"> digital newsletter delivering a tightly curated brief on Chattanooga: what happened, what's changing, and — critically — </w:t>
      </w:r>
      <w:r>
        <w:rPr>
          <w:b/>
          <w:i w:val="0"/>
          <w:sz w:val="22"/>
        </w:rPr>
        <w:t>what to do this week</w:t>
      </w:r>
      <w:r>
        <w:rPr>
          <w:i w:val="0"/>
          <w:sz w:val="22"/>
        </w:rPr>
        <w:t>. "Scenic City" is Chattanooga's well-known civic nickname; the "Scout" voice is a trusted local insider who does the legwork so readers don't have to. The weekly cadence is a deliberate, sustainable choice: research shows over-sending accelerates churn and that daily-publishing burnout is a leading cause of solo-operator failure. A high-quality weekly protects editorial standards and founder stamina while a daily competitor (NOOGAtoday) saturates the inbox.</w:t>
      </w:r>
    </w:p>
    <w:p>
      <w:pPr>
        <w:spacing w:before="200" w:after="80"/>
      </w:pPr>
      <w:r>
        <w:rPr>
          <w:b/>
          <w:color w:val="2A9D8F"/>
          <w:sz w:val="27"/>
        </w:rPr>
        <w:t>2.3 The core thesis — why no sponsorship</w:t>
      </w:r>
    </w:p>
    <w:p>
      <w:pPr>
        <w:spacing w:after="120"/>
        <w:jc w:val="both"/>
      </w:pPr>
      <w:r>
        <w:rPr>
          <w:i w:val="0"/>
          <w:sz w:val="22"/>
        </w:rPr>
        <w:t>Most local newsletters are free and sell ads. That model works, but it has structural costs: it requires large scale to matter (6AM City targets ~50,000 subscribers per market just to be profitable), it sells the reader's attention to third parties, and it creates an unavoidable tension between what's good for the reader and what's good for the advertiser. Brief Scout Media rejects that trade. By taking sponsorship off the table entirely, the Scout makes the reader — not an advertiser — the customer. Every incentive points the same direction: make something people love enough to pay for, sell them products they actually want, and gather them at events they're glad they attended.</w:t>
      </w:r>
    </w:p>
    <w:p>
      <w:pPr>
        <w:spacing w:after="120"/>
        <w:jc w:val="left"/>
      </w:pPr>
      <w:r>
        <w:rPr>
          <w:i w:val="0"/>
          <w:sz w:val="22"/>
        </w:rPr>
        <w:t>This is not idealism without precedent — it is the model behind some of the most resilient independent media of the last five years (Defector: 87% reader-funded, ~$4.6M/yr; 404 Media: profitable within ~6 months; Hell Gate, Racket, Aftermath; The Colorado Sun). Brief Scout Media applies that reader-funded ethic to a single mid-sized city.</w:t>
      </w:r>
    </w:p>
    <w:tbl>
      <w:tblPr>
        <w:tblStyle w:val="TableGrid"/>
        <w:tblW w:type="auto" w:w="0"/>
        <w:jc w:val="center"/>
        <w:tblLayout w:type="autofit"/>
        <w:tblLook w:firstColumn="1" w:firstRow="1" w:lastColumn="0" w:lastRow="0" w:noHBand="0" w:noVBand="1" w:val="04A0"/>
      </w:tblPr>
      <w:tblGrid>
        <w:gridCol w:w="4824"/>
        <w:gridCol w:w="4824"/>
      </w:tblGrid>
      <w:tr>
        <w:tc>
          <w:tcPr>
            <w:tcW w:type="dxa" w:w="2448"/>
            <w:shd w:val="clear" w:color="auto" w:fill="1B3A4B"/>
          </w:tcPr>
          <w:p>
            <w:pPr>
              <w:jc w:val="left"/>
            </w:pPr>
            <w:r/>
            <w:r>
              <w:rPr>
                <w:b/>
                <w:color w:val="FFFFFF"/>
                <w:sz w:val="19"/>
              </w:rPr>
              <w:t>Item</w:t>
            </w:r>
          </w:p>
        </w:tc>
        <w:tc>
          <w:tcPr>
            <w:tcW w:type="dxa" w:w="6624"/>
            <w:shd w:val="clear" w:color="auto" w:fill="1B3A4B"/>
          </w:tcPr>
          <w:p>
            <w:pPr>
              <w:jc w:val="center"/>
            </w:pPr>
            <w:r/>
            <w:r>
              <w:rPr>
                <w:b/>
                <w:color w:val="FFFFFF"/>
                <w:sz w:val="19"/>
              </w:rPr>
              <w:t>Detail</w:t>
            </w:r>
          </w:p>
        </w:tc>
      </w:tr>
      <w:tr>
        <w:tc>
          <w:tcPr>
            <w:tcW w:type="dxa" w:w="2448"/>
            <w:shd w:val="clear" w:color="auto" w:fill="EEF3F4"/>
          </w:tcPr>
          <w:p>
            <w:pPr>
              <w:jc w:val="left"/>
            </w:pPr>
            <w:r/>
            <w:r>
              <w:rPr>
                <w:b/>
                <w:color w:val="1B3A4B"/>
                <w:sz w:val="19"/>
              </w:rPr>
              <w:t>Company</w:t>
            </w:r>
          </w:p>
        </w:tc>
        <w:tc>
          <w:tcPr>
            <w:tcW w:type="dxa" w:w="6624"/>
            <w:shd w:val="clear" w:color="auto" w:fill="EEF3F4"/>
          </w:tcPr>
          <w:p>
            <w:pPr>
              <w:jc w:val="center"/>
            </w:pPr>
            <w:r/>
            <w:r>
              <w:rPr>
                <w:b w:val="0"/>
                <w:sz w:val="19"/>
              </w:rPr>
              <w:t>Brief Scout Media (LLC to be formed)</w:t>
            </w:r>
          </w:p>
        </w:tc>
      </w:tr>
      <w:tr>
        <w:tc>
          <w:tcPr>
            <w:tcW w:type="dxa" w:w="2448"/>
            <w:shd w:val="clear" w:color="auto" w:fill="FFFFFF"/>
          </w:tcPr>
          <w:p>
            <w:pPr>
              <w:jc w:val="left"/>
            </w:pPr>
            <w:r/>
            <w:r>
              <w:rPr>
                <w:b/>
                <w:color w:val="1B3A4B"/>
                <w:sz w:val="19"/>
              </w:rPr>
              <w:t>Headquarters</w:t>
            </w:r>
          </w:p>
        </w:tc>
        <w:tc>
          <w:tcPr>
            <w:tcW w:type="dxa" w:w="6624"/>
            <w:shd w:val="clear" w:color="auto" w:fill="FFFFFF"/>
          </w:tcPr>
          <w:p>
            <w:pPr>
              <w:jc w:val="center"/>
            </w:pPr>
            <w:r/>
            <w:r>
              <w:rPr>
                <w:b w:val="0"/>
                <w:sz w:val="19"/>
              </w:rPr>
              <w:t>Chattanooga, Tennessee (Hamilton County)</w:t>
            </w:r>
          </w:p>
        </w:tc>
      </w:tr>
      <w:tr>
        <w:tc>
          <w:tcPr>
            <w:tcW w:type="dxa" w:w="2448"/>
            <w:shd w:val="clear" w:color="auto" w:fill="EEF3F4"/>
          </w:tcPr>
          <w:p>
            <w:pPr>
              <w:jc w:val="left"/>
            </w:pPr>
            <w:r/>
            <w:r>
              <w:rPr>
                <w:b/>
                <w:color w:val="1B3A4B"/>
                <w:sz w:val="19"/>
              </w:rPr>
              <w:t>First product</w:t>
            </w:r>
          </w:p>
        </w:tc>
        <w:tc>
          <w:tcPr>
            <w:tcW w:type="dxa" w:w="6624"/>
            <w:shd w:val="clear" w:color="auto" w:fill="EEF3F4"/>
          </w:tcPr>
          <w:p>
            <w:pPr>
              <w:jc w:val="center"/>
            </w:pPr>
            <w:r/>
            <w:r>
              <w:rPr>
                <w:b w:val="0"/>
                <w:sz w:val="19"/>
              </w:rPr>
              <w:t>The Scenic City Scout — weekly digital newsletter</w:t>
            </w:r>
          </w:p>
        </w:tc>
      </w:tr>
      <w:tr>
        <w:tc>
          <w:tcPr>
            <w:tcW w:type="dxa" w:w="2448"/>
            <w:shd w:val="clear" w:color="auto" w:fill="FFFFFF"/>
          </w:tcPr>
          <w:p>
            <w:pPr>
              <w:jc w:val="left"/>
            </w:pPr>
            <w:r/>
            <w:r>
              <w:rPr>
                <w:b/>
                <w:color w:val="1B3A4B"/>
                <w:sz w:val="19"/>
              </w:rPr>
              <w:t>Stage</w:t>
            </w:r>
          </w:p>
        </w:tc>
        <w:tc>
          <w:tcPr>
            <w:tcW w:type="dxa" w:w="6624"/>
            <w:shd w:val="clear" w:color="auto" w:fill="FFFFFF"/>
          </w:tcPr>
          <w:p>
            <w:pPr>
              <w:jc w:val="center"/>
            </w:pPr>
            <w:r/>
            <w:r>
              <w:rPr>
                <w:b w:val="0"/>
                <w:sz w:val="19"/>
              </w:rPr>
              <w:t>Pre-launch concept</w:t>
            </w:r>
          </w:p>
        </w:tc>
      </w:tr>
      <w:tr>
        <w:tc>
          <w:tcPr>
            <w:tcW w:type="dxa" w:w="2448"/>
            <w:shd w:val="clear" w:color="auto" w:fill="EEF3F4"/>
          </w:tcPr>
          <w:p>
            <w:pPr>
              <w:jc w:val="left"/>
            </w:pPr>
            <w:r/>
            <w:r>
              <w:rPr>
                <w:b/>
                <w:color w:val="1B3A4B"/>
                <w:sz w:val="19"/>
              </w:rPr>
              <w:t>Revenue model</w:t>
            </w:r>
          </w:p>
        </w:tc>
        <w:tc>
          <w:tcPr>
            <w:tcW w:type="dxa" w:w="6624"/>
            <w:shd w:val="clear" w:color="auto" w:fill="EEF3F4"/>
          </w:tcPr>
          <w:p>
            <w:pPr>
              <w:jc w:val="center"/>
            </w:pPr>
            <w:r/>
            <w:r>
              <w:rPr>
                <w:b w:val="0"/>
                <w:sz w:val="19"/>
              </w:rPr>
              <w:t>Membership + products/commerce + events (no ads/sponsorship)</w:t>
            </w:r>
          </w:p>
        </w:tc>
      </w:tr>
      <w:tr>
        <w:tc>
          <w:tcPr>
            <w:tcW w:type="dxa" w:w="2448"/>
            <w:shd w:val="clear" w:color="auto" w:fill="FFFFFF"/>
          </w:tcPr>
          <w:p>
            <w:pPr>
              <w:jc w:val="left"/>
            </w:pPr>
            <w:r/>
            <w:r>
              <w:rPr>
                <w:b/>
                <w:color w:val="1B3A4B"/>
                <w:sz w:val="19"/>
              </w:rPr>
              <w:t>Editorial cadence</w:t>
            </w:r>
          </w:p>
        </w:tc>
        <w:tc>
          <w:tcPr>
            <w:tcW w:type="dxa" w:w="6624"/>
            <w:shd w:val="clear" w:color="auto" w:fill="FFFFFF"/>
          </w:tcPr>
          <w:p>
            <w:pPr>
              <w:jc w:val="center"/>
            </w:pPr>
            <w:r/>
            <w:r>
              <w:rPr>
                <w:b w:val="0"/>
                <w:sz w:val="19"/>
              </w:rPr>
              <w:t>Weekly (free tier) + members-only extras</w:t>
            </w:r>
          </w:p>
        </w:tc>
      </w:tr>
      <w:tr>
        <w:tc>
          <w:tcPr>
            <w:tcW w:type="dxa" w:w="2448"/>
            <w:shd w:val="clear" w:color="auto" w:fill="EEF3F4"/>
          </w:tcPr>
          <w:p>
            <w:pPr>
              <w:jc w:val="left"/>
            </w:pPr>
            <w:r/>
            <w:r>
              <w:rPr>
                <w:b/>
                <w:color w:val="1B3A4B"/>
                <w:sz w:val="19"/>
              </w:rPr>
              <w:t>Startup capital</w:t>
            </w:r>
          </w:p>
        </w:tc>
        <w:tc>
          <w:tcPr>
            <w:tcW w:type="dxa" w:w="6624"/>
            <w:shd w:val="clear" w:color="auto" w:fill="EEF3F4"/>
          </w:tcPr>
          <w:p>
            <w:pPr>
              <w:jc w:val="center"/>
            </w:pPr>
            <w:r/>
            <w:r>
              <w:rPr>
                <w:b w:val="0"/>
                <w:sz w:val="19"/>
              </w:rPr>
              <w:t>~$5,000</w:t>
            </w:r>
          </w:p>
        </w:tc>
      </w:tr>
      <w:tr>
        <w:tc>
          <w:tcPr>
            <w:tcW w:type="dxa" w:w="2448"/>
            <w:shd w:val="clear" w:color="auto" w:fill="FFFFFF"/>
          </w:tcPr>
          <w:p>
            <w:pPr>
              <w:jc w:val="left"/>
            </w:pPr>
            <w:r/>
            <w:r>
              <w:rPr>
                <w:b/>
                <w:color w:val="1B3A4B"/>
                <w:sz w:val="19"/>
              </w:rPr>
              <w:t>3-yr revenue target</w:t>
            </w:r>
          </w:p>
        </w:tc>
        <w:tc>
          <w:tcPr>
            <w:tcW w:type="dxa" w:w="6624"/>
            <w:shd w:val="clear" w:color="auto" w:fill="FFFFFF"/>
          </w:tcPr>
          <w:p>
            <w:pPr>
              <w:jc w:val="center"/>
            </w:pPr>
            <w:r/>
            <w:r>
              <w:rPr>
                <w:b w:val="0"/>
                <w:sz w:val="19"/>
              </w:rPr>
              <w:t>~$280,000 with diversified, reader-funded streams</w:t>
            </w:r>
          </w:p>
        </w:tc>
      </w:tr>
    </w:tbl>
    <w:p>
      <w:pPr>
        <w:spacing w:after="40"/>
      </w:pPr>
    </w:p>
    <w:p>
      <w:pPr>
        <w:spacing w:after="200"/>
        <w:jc w:val="left"/>
      </w:pPr>
      <w:r>
        <w:rPr>
          <w:i/>
          <w:color w:val="6B7B85"/>
          <w:sz w:val="17"/>
        </w:rPr>
        <w:t>Table 1. Brief Scout Media at a glance.</w:t>
      </w:r>
    </w:p>
    <w:p>
      <w:pPr>
        <w:spacing w:before="280" w:after="80"/>
        <w:pBdr>
          <w:bottom w:val="single" w:sz="6" w:space="2" w:color="2A9D8F"/>
        </w:pBdr>
      </w:pPr>
      <w:r>
        <w:rPr>
          <w:b/>
          <w:color w:val="1B3A4B"/>
          <w:sz w:val="34"/>
        </w:rPr>
        <w:t>3. The Market Opportunity</w:t>
      </w:r>
    </w:p>
    <w:p>
      <w:pPr>
        <w:spacing w:before="200" w:after="80"/>
      </w:pPr>
      <w:r>
        <w:rPr>
          <w:b/>
          <w:color w:val="2A9D8F"/>
          <w:sz w:val="27"/>
        </w:rPr>
        <w:t>3.1 A local-news vacuum and a newsletter renaissance</w:t>
      </w:r>
    </w:p>
    <w:p>
      <w:pPr>
        <w:spacing w:after="120"/>
        <w:jc w:val="both"/>
      </w:pPr>
      <w:r>
        <w:rPr>
          <w:i w:val="0"/>
          <w:sz w:val="22"/>
        </w:rPr>
        <w:t xml:space="preserve">The collapse of legacy local news is well documented. Northwestern's Medill "State of Local News 2024" report counts </w:t>
      </w:r>
      <w:r>
        <w:rPr>
          <w:b/>
          <w:i w:val="0"/>
          <w:sz w:val="22"/>
        </w:rPr>
        <w:t>~3,300 newspapers lost since 2005</w:t>
      </w:r>
      <w:r>
        <w:rPr>
          <w:i w:val="0"/>
          <w:sz w:val="22"/>
        </w:rPr>
        <w:t xml:space="preserve"> (more than a third of all U.S. papers), </w:t>
      </w:r>
      <w:r>
        <w:rPr>
          <w:b/>
          <w:i w:val="0"/>
          <w:sz w:val="22"/>
        </w:rPr>
        <w:t>127 closures in the prior 12 months</w:t>
      </w:r>
      <w:r>
        <w:rPr>
          <w:i w:val="0"/>
          <w:sz w:val="22"/>
        </w:rPr>
        <w:t xml:space="preserve"> (~2.5 per week), </w:t>
      </w:r>
      <w:r>
        <w:rPr>
          <w:b/>
          <w:i w:val="0"/>
          <w:sz w:val="22"/>
        </w:rPr>
        <w:t>1,563 counties with only one</w:t>
      </w:r>
      <w:r>
        <w:rPr>
          <w:i w:val="0"/>
          <w:sz w:val="22"/>
        </w:rPr>
        <w:t xml:space="preserve"> remaining news source plus 208 with none, and roughly </w:t>
      </w:r>
      <w:r>
        <w:rPr>
          <w:b/>
          <w:i w:val="0"/>
          <w:sz w:val="22"/>
        </w:rPr>
        <w:t>55 million Americans</w:t>
      </w:r>
      <w:r>
        <w:rPr>
          <w:i w:val="0"/>
          <w:sz w:val="22"/>
        </w:rPr>
        <w:t xml:space="preserve"> with limited or no local news. The bright spot: a net </w:t>
      </w:r>
      <w:r>
        <w:rPr>
          <w:b/>
          <w:i w:val="0"/>
          <w:sz w:val="22"/>
        </w:rPr>
        <w:t>+81 standalone digital news sites</w:t>
      </w:r>
      <w:r>
        <w:rPr>
          <w:i w:val="0"/>
          <w:sz w:val="22"/>
        </w:rPr>
        <w:t xml:space="preserve"> in a single year — the fastest-growing replacement for shuttered print, concentrated in metros like Chattanooga.</w:t>
      </w:r>
    </w:p>
    <w:p>
      <w:pPr>
        <w:jc w:val="center"/>
      </w:pPr>
      <w:r>
        <w:drawing>
          <wp:inline xmlns:a="http://schemas.openxmlformats.org/drawingml/2006/main" xmlns:pic="http://schemas.openxmlformats.org/drawingml/2006/picture">
            <wp:extent cx="5760720" cy="2902612"/>
            <wp:docPr id="2" name="Picture 2"/>
            <wp:cNvGraphicFramePr>
              <a:graphicFrameLocks noChangeAspect="1"/>
            </wp:cNvGraphicFramePr>
            <a:graphic>
              <a:graphicData uri="http://schemas.openxmlformats.org/drawingml/2006/picture">
                <pic:pic>
                  <pic:nvPicPr>
                    <pic:cNvPr id="0" name="fig_newsdecline.png"/>
                    <pic:cNvPicPr/>
                  </pic:nvPicPr>
                  <pic:blipFill>
                    <a:blip r:embed="rId10"/>
                    <a:stretch>
                      <a:fillRect/>
                    </a:stretch>
                  </pic:blipFill>
                  <pic:spPr>
                    <a:xfrm>
                      <a:off x="0" y="0"/>
                      <a:ext cx="5760720" cy="2902612"/>
                    </a:xfrm>
                    <a:prstGeom prst="rect"/>
                  </pic:spPr>
                </pic:pic>
              </a:graphicData>
            </a:graphic>
          </wp:inline>
        </w:drawing>
      </w:r>
    </w:p>
    <w:p>
      <w:pPr>
        <w:spacing w:after="240"/>
        <w:jc w:val="center"/>
      </w:pPr>
      <w:r>
        <w:rPr>
          <w:i/>
          <w:color w:val="6B7B85"/>
          <w:sz w:val="17"/>
        </w:rPr>
        <w:t>Figure 2. Legacy local news is collapsing while digital-native outlets grow — the structural opening Brief Scout Media is built for. Source: Medill State of Local News 2024.</w:t>
      </w:r>
    </w:p>
    <w:p>
      <w:pPr>
        <w:spacing w:after="120"/>
        <w:jc w:val="left"/>
      </w:pPr>
      <w:r>
        <w:rPr>
          <w:i w:val="0"/>
          <w:sz w:val="22"/>
        </w:rPr>
        <w:t>Email is the medium of choice for this rebuild. Newsletters are owned audience — a direct, portable relationship not subject to a social platform's algorithm — which is precisely why operators from Morning Brew to Axios to thousands of indies have made the inbox their home. Typical newsletter open rates run 20–40% (far above most digital media), and the email list is consistently cited as the single most defensible asset a small media company can own.</w:t>
      </w:r>
    </w:p>
    <w:p>
      <w:pPr>
        <w:spacing w:before="200" w:after="80"/>
      </w:pPr>
      <w:r>
        <w:rPr>
          <w:b/>
          <w:color w:val="2A9D8F"/>
          <w:sz w:val="27"/>
        </w:rPr>
        <w:t>3.2 The reader-revenue shift</w:t>
      </w:r>
    </w:p>
    <w:p>
      <w:pPr>
        <w:spacing w:after="120"/>
        <w:jc w:val="left"/>
      </w:pPr>
      <w:r>
        <w:rPr>
          <w:i w:val="0"/>
          <w:sz w:val="22"/>
        </w:rPr>
        <w:t xml:space="preserve">Across the industry, </w:t>
      </w:r>
      <w:r>
        <w:rPr>
          <w:b/>
          <w:i w:val="0"/>
          <w:sz w:val="22"/>
        </w:rPr>
        <w:t>reader revenue is now the top investment priority</w:t>
      </w:r>
      <w:r>
        <w:rPr>
          <w:i w:val="0"/>
          <w:sz w:val="22"/>
        </w:rPr>
        <w:t xml:space="preserve"> for publishers, and the most durable independent outlets are funded primarily by their audiences rather than advertisers. The frameworks are mature: the Lenfest Institute and American Press Institute stress diversified reader-centric revenue and that "retention is the new acquisition"; the Membership Puzzle Project distinguishes transactional </w:t>
      </w:r>
      <w:r>
        <w:rPr>
          <w:b/>
          <w:i w:val="0"/>
          <w:sz w:val="22"/>
        </w:rPr>
        <w:t>subscription</w:t>
      </w:r>
      <w:r>
        <w:rPr>
          <w:i w:val="0"/>
          <w:sz w:val="22"/>
        </w:rPr>
        <w:t xml:space="preserve"> from mission-driven </w:t>
      </w:r>
      <w:r>
        <w:rPr>
          <w:b/>
          <w:i w:val="0"/>
          <w:sz w:val="22"/>
        </w:rPr>
        <w:t>membership</w:t>
      </w:r>
      <w:r>
        <w:rPr>
          <w:i w:val="0"/>
          <w:sz w:val="22"/>
        </w:rPr>
        <w:t>, where people "join the cause." Brief Scout Media is explicitly a membership business, not merely a paywall.</w:t>
      </w:r>
    </w:p>
    <w:p>
      <w:pPr>
        <w:spacing w:before="200" w:after="80"/>
      </w:pPr>
      <w:r>
        <w:rPr>
          <w:b/>
          <w:color w:val="2A9D8F"/>
          <w:sz w:val="27"/>
        </w:rPr>
        <w:t>3.3 The Chattanooga market</w:t>
      </w:r>
    </w:p>
    <w:p>
      <w:pPr>
        <w:spacing w:after="120"/>
        <w:jc w:val="left"/>
      </w:pPr>
      <w:r>
        <w:rPr>
          <w:i w:val="0"/>
          <w:sz w:val="22"/>
        </w:rPr>
        <w:t>Chattanooga is an unusually good fit for a reader-funded local brand: large enough to support real revenue, small enough to dominate, growing fast, increasingly affluent, and digitally wired.</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888"/>
            <w:shd w:val="clear" w:color="auto" w:fill="1B3A4B"/>
          </w:tcPr>
          <w:p>
            <w:pPr>
              <w:jc w:val="left"/>
            </w:pPr>
            <w:r/>
            <w:r>
              <w:rPr>
                <w:b/>
                <w:color w:val="FFFFFF"/>
                <w:sz w:val="19"/>
              </w:rPr>
              <w:t>Indicator</w:t>
            </w:r>
          </w:p>
        </w:tc>
        <w:tc>
          <w:tcPr>
            <w:tcW w:type="dxa" w:w="3168"/>
            <w:shd w:val="clear" w:color="auto" w:fill="1B3A4B"/>
          </w:tcPr>
          <w:p>
            <w:pPr>
              <w:jc w:val="center"/>
            </w:pPr>
            <w:r/>
            <w:r>
              <w:rPr>
                <w:b/>
                <w:color w:val="FFFFFF"/>
                <w:sz w:val="19"/>
              </w:rPr>
              <w:t>Value</w:t>
            </w:r>
          </w:p>
        </w:tc>
        <w:tc>
          <w:tcPr>
            <w:tcW w:type="dxa" w:w="2880"/>
            <w:shd w:val="clear" w:color="auto" w:fill="1B3A4B"/>
          </w:tcPr>
          <w:p>
            <w:pPr>
              <w:jc w:val="center"/>
            </w:pPr>
            <w:r/>
            <w:r>
              <w:rPr>
                <w:b/>
                <w:color w:val="FFFFFF"/>
                <w:sz w:val="19"/>
              </w:rPr>
              <w:t>Source</w:t>
            </w:r>
          </w:p>
        </w:tc>
      </w:tr>
      <w:tr>
        <w:tc>
          <w:tcPr>
            <w:tcW w:type="dxa" w:w="3888"/>
            <w:shd w:val="clear" w:color="auto" w:fill="EEF3F4"/>
          </w:tcPr>
          <w:p>
            <w:pPr>
              <w:jc w:val="left"/>
            </w:pPr>
            <w:r/>
            <w:r>
              <w:rPr>
                <w:b/>
                <w:color w:val="1B3A4B"/>
                <w:sz w:val="19"/>
              </w:rPr>
              <w:t>City of Chattanooga population</w:t>
            </w:r>
          </w:p>
        </w:tc>
        <w:tc>
          <w:tcPr>
            <w:tcW w:type="dxa" w:w="3168"/>
            <w:shd w:val="clear" w:color="auto" w:fill="EEF3F4"/>
          </w:tcPr>
          <w:p>
            <w:pPr>
              <w:jc w:val="center"/>
            </w:pPr>
            <w:r/>
            <w:r>
              <w:rPr>
                <w:b w:val="0"/>
                <w:sz w:val="19"/>
              </w:rPr>
              <w:t>~194,000 (2025 est.)</w:t>
            </w:r>
          </w:p>
        </w:tc>
        <w:tc>
          <w:tcPr>
            <w:tcW w:type="dxa" w:w="2880"/>
            <w:shd w:val="clear" w:color="auto" w:fill="EEF3F4"/>
          </w:tcPr>
          <w:p>
            <w:pPr>
              <w:jc w:val="center"/>
            </w:pPr>
            <w:r/>
            <w:r>
              <w:rPr>
                <w:b w:val="0"/>
                <w:sz w:val="19"/>
              </w:rPr>
              <w:t>U.S. Census / Times Free Press</w:t>
            </w:r>
          </w:p>
        </w:tc>
      </w:tr>
      <w:tr>
        <w:tc>
          <w:tcPr>
            <w:tcW w:type="dxa" w:w="3888"/>
            <w:shd w:val="clear" w:color="auto" w:fill="FFFFFF"/>
          </w:tcPr>
          <w:p>
            <w:pPr>
              <w:jc w:val="left"/>
            </w:pPr>
            <w:r/>
            <w:r>
              <w:rPr>
                <w:b/>
                <w:color w:val="1B3A4B"/>
                <w:sz w:val="19"/>
              </w:rPr>
              <w:t>Chattanooga MSA (6-county TN-GA)</w:t>
            </w:r>
          </w:p>
        </w:tc>
        <w:tc>
          <w:tcPr>
            <w:tcW w:type="dxa" w:w="3168"/>
            <w:shd w:val="clear" w:color="auto" w:fill="FFFFFF"/>
          </w:tcPr>
          <w:p>
            <w:pPr>
              <w:jc w:val="center"/>
            </w:pPr>
            <w:r/>
            <w:r>
              <w:rPr>
                <w:b w:val="0"/>
                <w:sz w:val="19"/>
              </w:rPr>
              <w:t>~595,000 (2025)</w:t>
            </w:r>
          </w:p>
        </w:tc>
        <w:tc>
          <w:tcPr>
            <w:tcW w:type="dxa" w:w="2880"/>
            <w:shd w:val="clear" w:color="auto" w:fill="FFFFFF"/>
          </w:tcPr>
          <w:p>
            <w:pPr>
              <w:jc w:val="center"/>
            </w:pPr>
            <w:r/>
            <w:r>
              <w:rPr>
                <w:b w:val="0"/>
                <w:sz w:val="19"/>
              </w:rPr>
              <w:t>U.S. Census / UTC CRER</w:t>
            </w:r>
          </w:p>
        </w:tc>
      </w:tr>
      <w:tr>
        <w:tc>
          <w:tcPr>
            <w:tcW w:type="dxa" w:w="3888"/>
            <w:shd w:val="clear" w:color="auto" w:fill="EEF3F4"/>
          </w:tcPr>
          <w:p>
            <w:pPr>
              <w:jc w:val="left"/>
            </w:pPr>
            <w:r/>
            <w:r>
              <w:rPr>
                <w:b/>
                <w:color w:val="1B3A4B"/>
                <w:sz w:val="19"/>
              </w:rPr>
              <w:t>MSA households (est.)</w:t>
            </w:r>
          </w:p>
        </w:tc>
        <w:tc>
          <w:tcPr>
            <w:tcW w:type="dxa" w:w="3168"/>
            <w:shd w:val="clear" w:color="auto" w:fill="EEF3F4"/>
          </w:tcPr>
          <w:p>
            <w:pPr>
              <w:jc w:val="center"/>
            </w:pPr>
            <w:r/>
            <w:r>
              <w:rPr>
                <w:b w:val="0"/>
                <w:sz w:val="19"/>
              </w:rPr>
              <w:t>~235,000</w:t>
            </w:r>
          </w:p>
        </w:tc>
        <w:tc>
          <w:tcPr>
            <w:tcW w:type="dxa" w:w="2880"/>
            <w:shd w:val="clear" w:color="auto" w:fill="EEF3F4"/>
          </w:tcPr>
          <w:p>
            <w:pPr>
              <w:jc w:val="center"/>
            </w:pPr>
            <w:r/>
            <w:r>
              <w:rPr>
                <w:b w:val="0"/>
                <w:sz w:val="19"/>
              </w:rPr>
              <w:t>Derived from Census</w:t>
            </w:r>
          </w:p>
        </w:tc>
      </w:tr>
      <w:tr>
        <w:tc>
          <w:tcPr>
            <w:tcW w:type="dxa" w:w="3888"/>
            <w:shd w:val="clear" w:color="auto" w:fill="FFFFFF"/>
          </w:tcPr>
          <w:p>
            <w:pPr>
              <w:jc w:val="left"/>
            </w:pPr>
            <w:r/>
            <w:r>
              <w:rPr>
                <w:b/>
                <w:color w:val="1B3A4B"/>
                <w:sz w:val="19"/>
              </w:rPr>
              <w:t>Metro growth, 2020–2025</w:t>
            </w:r>
          </w:p>
        </w:tc>
        <w:tc>
          <w:tcPr>
            <w:tcW w:type="dxa" w:w="3168"/>
            <w:shd w:val="clear" w:color="auto" w:fill="FFFFFF"/>
          </w:tcPr>
          <w:p>
            <w:pPr>
              <w:jc w:val="center"/>
            </w:pPr>
            <w:r/>
            <w:r>
              <w:rPr>
                <w:b w:val="0"/>
                <w:sz w:val="19"/>
              </w:rPr>
              <w:t>+31,000 people; &gt;2× U.S. rate</w:t>
            </w:r>
          </w:p>
        </w:tc>
        <w:tc>
          <w:tcPr>
            <w:tcW w:type="dxa" w:w="2880"/>
            <w:shd w:val="clear" w:color="auto" w:fill="FFFFFF"/>
          </w:tcPr>
          <w:p>
            <w:pPr>
              <w:jc w:val="center"/>
            </w:pPr>
            <w:r/>
            <w:r>
              <w:rPr>
                <w:b w:val="0"/>
                <w:sz w:val="19"/>
              </w:rPr>
              <w:t>UTC CRER (2026)</w:t>
            </w:r>
          </w:p>
        </w:tc>
      </w:tr>
      <w:tr>
        <w:tc>
          <w:tcPr>
            <w:tcW w:type="dxa" w:w="3888"/>
            <w:shd w:val="clear" w:color="auto" w:fill="EEF3F4"/>
          </w:tcPr>
          <w:p>
            <w:pPr>
              <w:jc w:val="left"/>
            </w:pPr>
            <w:r/>
            <w:r>
              <w:rPr>
                <w:b/>
                <w:color w:val="1B3A4B"/>
                <w:sz w:val="19"/>
              </w:rPr>
              <w:t>Top in-migration origins</w:t>
            </w:r>
          </w:p>
        </w:tc>
        <w:tc>
          <w:tcPr>
            <w:tcW w:type="dxa" w:w="3168"/>
            <w:shd w:val="clear" w:color="auto" w:fill="EEF3F4"/>
          </w:tcPr>
          <w:p>
            <w:pPr>
              <w:jc w:val="center"/>
            </w:pPr>
            <w:r/>
            <w:r>
              <w:rPr>
                <w:b w:val="0"/>
                <w:sz w:val="19"/>
              </w:rPr>
              <w:t>California (#1), Illinois (#2)</w:t>
            </w:r>
          </w:p>
        </w:tc>
        <w:tc>
          <w:tcPr>
            <w:tcW w:type="dxa" w:w="2880"/>
            <w:shd w:val="clear" w:color="auto" w:fill="EEF3F4"/>
          </w:tcPr>
          <w:p>
            <w:pPr>
              <w:jc w:val="center"/>
            </w:pPr>
            <w:r/>
            <w:r>
              <w:rPr>
                <w:b w:val="0"/>
                <w:sz w:val="19"/>
              </w:rPr>
              <w:t>UTC CRER (2026)</w:t>
            </w:r>
          </w:p>
        </w:tc>
      </w:tr>
      <w:tr>
        <w:tc>
          <w:tcPr>
            <w:tcW w:type="dxa" w:w="3888"/>
            <w:shd w:val="clear" w:color="auto" w:fill="FFFFFF"/>
          </w:tcPr>
          <w:p>
            <w:pPr>
              <w:jc w:val="left"/>
            </w:pPr>
            <w:r/>
            <w:r>
              <w:rPr>
                <w:b/>
                <w:color w:val="1B3A4B"/>
                <w:sz w:val="19"/>
              </w:rPr>
              <w:t>Median household income (county)</w:t>
            </w:r>
          </w:p>
        </w:tc>
        <w:tc>
          <w:tcPr>
            <w:tcW w:type="dxa" w:w="3168"/>
            <w:shd w:val="clear" w:color="auto" w:fill="FFFFFF"/>
          </w:tcPr>
          <w:p>
            <w:pPr>
              <w:jc w:val="center"/>
            </w:pPr>
            <w:r/>
            <w:r>
              <w:rPr>
                <w:b w:val="0"/>
                <w:sz w:val="19"/>
              </w:rPr>
              <w:t>$76,183</w:t>
            </w:r>
          </w:p>
        </w:tc>
        <w:tc>
          <w:tcPr>
            <w:tcW w:type="dxa" w:w="2880"/>
            <w:shd w:val="clear" w:color="auto" w:fill="FFFFFF"/>
          </w:tcPr>
          <w:p>
            <w:pPr>
              <w:jc w:val="center"/>
            </w:pPr>
            <w:r/>
            <w:r>
              <w:rPr>
                <w:b w:val="0"/>
                <w:sz w:val="19"/>
              </w:rPr>
              <w:t>ACS 2024 / FRED</w:t>
            </w:r>
          </w:p>
        </w:tc>
      </w:tr>
      <w:tr>
        <w:tc>
          <w:tcPr>
            <w:tcW w:type="dxa" w:w="3888"/>
            <w:shd w:val="clear" w:color="auto" w:fill="EEF3F4"/>
          </w:tcPr>
          <w:p>
            <w:pPr>
              <w:jc w:val="left"/>
            </w:pPr>
            <w:r/>
            <w:r>
              <w:rPr>
                <w:b/>
                <w:color w:val="1B3A4B"/>
                <w:sz w:val="19"/>
              </w:rPr>
              <w:t>Median household income (city)</w:t>
            </w:r>
          </w:p>
        </w:tc>
        <w:tc>
          <w:tcPr>
            <w:tcW w:type="dxa" w:w="3168"/>
            <w:shd w:val="clear" w:color="auto" w:fill="EEF3F4"/>
          </w:tcPr>
          <w:p>
            <w:pPr>
              <w:jc w:val="center"/>
            </w:pPr>
            <w:r/>
            <w:r>
              <w:rPr>
                <w:b w:val="0"/>
                <w:sz w:val="19"/>
              </w:rPr>
              <w:t>~$64,500</w:t>
            </w:r>
          </w:p>
        </w:tc>
        <w:tc>
          <w:tcPr>
            <w:tcW w:type="dxa" w:w="2880"/>
            <w:shd w:val="clear" w:color="auto" w:fill="EEF3F4"/>
          </w:tcPr>
          <w:p>
            <w:pPr>
              <w:jc w:val="center"/>
            </w:pPr>
            <w:r/>
            <w:r>
              <w:rPr>
                <w:b w:val="0"/>
                <w:sz w:val="19"/>
              </w:rPr>
              <w:t>ACS 2024</w:t>
            </w:r>
          </w:p>
        </w:tc>
      </w:tr>
      <w:tr>
        <w:tc>
          <w:tcPr>
            <w:tcW w:type="dxa" w:w="3888"/>
            <w:shd w:val="clear" w:color="auto" w:fill="FFFFFF"/>
          </w:tcPr>
          <w:p>
            <w:pPr>
              <w:jc w:val="left"/>
            </w:pPr>
            <w:r/>
            <w:r>
              <w:rPr>
                <w:b/>
                <w:color w:val="1B3A4B"/>
                <w:sz w:val="19"/>
              </w:rPr>
              <w:t>Median age (city)</w:t>
            </w:r>
          </w:p>
        </w:tc>
        <w:tc>
          <w:tcPr>
            <w:tcW w:type="dxa" w:w="3168"/>
            <w:shd w:val="clear" w:color="auto" w:fill="FFFFFF"/>
          </w:tcPr>
          <w:p>
            <w:pPr>
              <w:jc w:val="center"/>
            </w:pPr>
            <w:r/>
            <w:r>
              <w:rPr>
                <w:b w:val="0"/>
                <w:sz w:val="19"/>
              </w:rPr>
              <w:t>~36</w:t>
            </w:r>
          </w:p>
        </w:tc>
        <w:tc>
          <w:tcPr>
            <w:tcW w:type="dxa" w:w="2880"/>
            <w:shd w:val="clear" w:color="auto" w:fill="FFFFFF"/>
          </w:tcPr>
          <w:p>
            <w:pPr>
              <w:jc w:val="center"/>
            </w:pPr>
            <w:r/>
            <w:r>
              <w:rPr>
                <w:b w:val="0"/>
                <w:sz w:val="19"/>
              </w:rPr>
              <w:t>U.S. Census</w:t>
            </w:r>
          </w:p>
        </w:tc>
      </w:tr>
      <w:tr>
        <w:tc>
          <w:tcPr>
            <w:tcW w:type="dxa" w:w="3888"/>
            <w:shd w:val="clear" w:color="auto" w:fill="EEF3F4"/>
          </w:tcPr>
          <w:p>
            <w:pPr>
              <w:jc w:val="left"/>
            </w:pPr>
            <w:r/>
            <w:r>
              <w:rPr>
                <w:b/>
                <w:color w:val="1B3A4B"/>
                <w:sz w:val="19"/>
              </w:rPr>
              <w:t>Tourism — annual visitors</w:t>
            </w:r>
          </w:p>
        </w:tc>
        <w:tc>
          <w:tcPr>
            <w:tcW w:type="dxa" w:w="3168"/>
            <w:shd w:val="clear" w:color="auto" w:fill="EEF3F4"/>
          </w:tcPr>
          <w:p>
            <w:pPr>
              <w:jc w:val="center"/>
            </w:pPr>
            <w:r/>
            <w:r>
              <w:rPr>
                <w:b w:val="0"/>
                <w:sz w:val="19"/>
              </w:rPr>
              <w:t>~11.1 million (2024)</w:t>
            </w:r>
          </w:p>
        </w:tc>
        <w:tc>
          <w:tcPr>
            <w:tcW w:type="dxa" w:w="2880"/>
            <w:shd w:val="clear" w:color="auto" w:fill="EEF3F4"/>
          </w:tcPr>
          <w:p>
            <w:pPr>
              <w:jc w:val="center"/>
            </w:pPr>
            <w:r/>
            <w:r>
              <w:rPr>
                <w:b w:val="0"/>
                <w:sz w:val="19"/>
              </w:rPr>
              <w:t>Chattanooga Tourism Co.</w:t>
            </w:r>
          </w:p>
        </w:tc>
      </w:tr>
      <w:tr>
        <w:tc>
          <w:tcPr>
            <w:tcW w:type="dxa" w:w="3888"/>
            <w:shd w:val="clear" w:color="auto" w:fill="FFFFFF"/>
          </w:tcPr>
          <w:p>
            <w:pPr>
              <w:jc w:val="left"/>
            </w:pPr>
            <w:r/>
            <w:r>
              <w:rPr>
                <w:b/>
                <w:color w:val="1B3A4B"/>
                <w:sz w:val="19"/>
              </w:rPr>
              <w:t>Tourism — visitor spending</w:t>
            </w:r>
          </w:p>
        </w:tc>
        <w:tc>
          <w:tcPr>
            <w:tcW w:type="dxa" w:w="3168"/>
            <w:shd w:val="clear" w:color="auto" w:fill="FFFFFF"/>
          </w:tcPr>
          <w:p>
            <w:pPr>
              <w:jc w:val="center"/>
            </w:pPr>
            <w:r/>
            <w:r>
              <w:rPr>
                <w:b w:val="0"/>
                <w:sz w:val="19"/>
              </w:rPr>
              <w:t>$1.806 billion (2024, record)</w:t>
            </w:r>
          </w:p>
        </w:tc>
        <w:tc>
          <w:tcPr>
            <w:tcW w:type="dxa" w:w="2880"/>
            <w:shd w:val="clear" w:color="auto" w:fill="FFFFFF"/>
          </w:tcPr>
          <w:p>
            <w:pPr>
              <w:jc w:val="center"/>
            </w:pPr>
            <w:r/>
            <w:r>
              <w:rPr>
                <w:b w:val="0"/>
                <w:sz w:val="19"/>
              </w:rPr>
              <w:t>Chattanooga Tourism Co.</w:t>
            </w:r>
          </w:p>
        </w:tc>
      </w:tr>
      <w:tr>
        <w:tc>
          <w:tcPr>
            <w:tcW w:type="dxa" w:w="3888"/>
            <w:shd w:val="clear" w:color="auto" w:fill="EEF3F4"/>
          </w:tcPr>
          <w:p>
            <w:pPr>
              <w:jc w:val="left"/>
            </w:pPr>
            <w:r/>
            <w:r>
              <w:rPr>
                <w:b/>
                <w:color w:val="1B3A4B"/>
                <w:sz w:val="19"/>
              </w:rPr>
              <w:t>Local events serviced / attendees</w:t>
            </w:r>
          </w:p>
        </w:tc>
        <w:tc>
          <w:tcPr>
            <w:tcW w:type="dxa" w:w="3168"/>
            <w:shd w:val="clear" w:color="auto" w:fill="EEF3F4"/>
          </w:tcPr>
          <w:p>
            <w:pPr>
              <w:jc w:val="center"/>
            </w:pPr>
            <w:r/>
            <w:r>
              <w:rPr>
                <w:b w:val="0"/>
                <w:sz w:val="19"/>
              </w:rPr>
              <w:t>253 events / 299,000+ (2024)</w:t>
            </w:r>
          </w:p>
        </w:tc>
        <w:tc>
          <w:tcPr>
            <w:tcW w:type="dxa" w:w="2880"/>
            <w:shd w:val="clear" w:color="auto" w:fill="EEF3F4"/>
          </w:tcPr>
          <w:p>
            <w:pPr>
              <w:jc w:val="center"/>
            </w:pPr>
            <w:r/>
            <w:r>
              <w:rPr>
                <w:b w:val="0"/>
                <w:sz w:val="19"/>
              </w:rPr>
              <w:t>Chattanooga Tourism Co.</w:t>
            </w:r>
          </w:p>
        </w:tc>
      </w:tr>
      <w:tr>
        <w:tc>
          <w:tcPr>
            <w:tcW w:type="dxa" w:w="3888"/>
            <w:shd w:val="clear" w:color="auto" w:fill="FFFFFF"/>
          </w:tcPr>
          <w:p>
            <w:pPr>
              <w:jc w:val="left"/>
            </w:pPr>
            <w:r/>
            <w:r>
              <w:rPr>
                <w:b/>
                <w:color w:val="1B3A4B"/>
                <w:sz w:val="19"/>
              </w:rPr>
              <w:t>EPB "Gig City" fiber customers</w:t>
            </w:r>
          </w:p>
        </w:tc>
        <w:tc>
          <w:tcPr>
            <w:tcW w:type="dxa" w:w="3168"/>
            <w:shd w:val="clear" w:color="auto" w:fill="FFFFFF"/>
          </w:tcPr>
          <w:p>
            <w:pPr>
              <w:jc w:val="center"/>
            </w:pPr>
            <w:r/>
            <w:r>
              <w:rPr>
                <w:b w:val="0"/>
                <w:sz w:val="19"/>
              </w:rPr>
              <w:t>~122,000 (~70% of homes)</w:t>
            </w:r>
          </w:p>
        </w:tc>
        <w:tc>
          <w:tcPr>
            <w:tcW w:type="dxa" w:w="2880"/>
            <w:shd w:val="clear" w:color="auto" w:fill="FFFFFF"/>
          </w:tcPr>
          <w:p>
            <w:pPr>
              <w:jc w:val="center"/>
            </w:pPr>
            <w:r/>
            <w:r>
              <w:rPr>
                <w:b w:val="0"/>
                <w:sz w:val="19"/>
              </w:rPr>
              <w:t>EPB 2024 Annual Report</w:t>
            </w:r>
          </w:p>
        </w:tc>
      </w:tr>
      <w:tr>
        <w:tc>
          <w:tcPr>
            <w:tcW w:type="dxa" w:w="3888"/>
            <w:shd w:val="clear" w:color="auto" w:fill="EEF3F4"/>
          </w:tcPr>
          <w:p>
            <w:pPr>
              <w:jc w:val="left"/>
            </w:pPr>
            <w:r/>
            <w:r>
              <w:rPr>
                <w:b/>
                <w:color w:val="1B3A4B"/>
                <w:sz w:val="19"/>
              </w:rPr>
              <w:t>Unemployment (MSA)</w:t>
            </w:r>
          </w:p>
        </w:tc>
        <w:tc>
          <w:tcPr>
            <w:tcW w:type="dxa" w:w="3168"/>
            <w:shd w:val="clear" w:color="auto" w:fill="EEF3F4"/>
          </w:tcPr>
          <w:p>
            <w:pPr>
              <w:jc w:val="center"/>
            </w:pPr>
            <w:r/>
            <w:r>
              <w:rPr>
                <w:b w:val="0"/>
                <w:sz w:val="19"/>
              </w:rPr>
              <w:t>~3.4% (Dec 2025)</w:t>
            </w:r>
          </w:p>
        </w:tc>
        <w:tc>
          <w:tcPr>
            <w:tcW w:type="dxa" w:w="2880"/>
            <w:shd w:val="clear" w:color="auto" w:fill="EEF3F4"/>
          </w:tcPr>
          <w:p>
            <w:pPr>
              <w:jc w:val="center"/>
            </w:pPr>
            <w:r/>
            <w:r>
              <w:rPr>
                <w:b w:val="0"/>
                <w:sz w:val="19"/>
              </w:rPr>
              <w:t>BLS / FRED</w:t>
            </w:r>
          </w:p>
        </w:tc>
      </w:tr>
      <w:tr>
        <w:tc>
          <w:tcPr>
            <w:tcW w:type="dxa" w:w="3888"/>
            <w:shd w:val="clear" w:color="auto" w:fill="FFFFFF"/>
          </w:tcPr>
          <w:p>
            <w:pPr>
              <w:jc w:val="left"/>
            </w:pPr>
            <w:r/>
            <w:r>
              <w:rPr>
                <w:b/>
                <w:color w:val="1B3A4B"/>
                <w:sz w:val="19"/>
              </w:rPr>
              <w:t>State income tax</w:t>
            </w:r>
          </w:p>
        </w:tc>
        <w:tc>
          <w:tcPr>
            <w:tcW w:type="dxa" w:w="3168"/>
            <w:shd w:val="clear" w:color="auto" w:fill="FFFFFF"/>
          </w:tcPr>
          <w:p>
            <w:pPr>
              <w:jc w:val="center"/>
            </w:pPr>
            <w:r/>
            <w:r>
              <w:rPr>
                <w:b w:val="0"/>
                <w:sz w:val="19"/>
              </w:rPr>
              <w:t>None (Tennessee)</w:t>
            </w:r>
          </w:p>
        </w:tc>
        <w:tc>
          <w:tcPr>
            <w:tcW w:type="dxa" w:w="2880"/>
            <w:shd w:val="clear" w:color="auto" w:fill="FFFFFF"/>
          </w:tcPr>
          <w:p>
            <w:pPr>
              <w:jc w:val="center"/>
            </w:pPr>
            <w:r/>
            <w:r>
              <w:rPr>
                <w:b w:val="0"/>
                <w:sz w:val="19"/>
              </w:rPr>
              <w:t>State of Tennessee</w:t>
            </w:r>
          </w:p>
        </w:tc>
      </w:tr>
    </w:tbl>
    <w:p>
      <w:pPr>
        <w:spacing w:after="40"/>
      </w:pPr>
    </w:p>
    <w:p>
      <w:pPr>
        <w:spacing w:after="200"/>
        <w:jc w:val="left"/>
      </w:pPr>
      <w:r>
        <w:rPr>
          <w:i/>
          <w:color w:val="6B7B85"/>
          <w:sz w:val="17"/>
        </w:rPr>
        <w:t>Table 2. Chattanooga market snapshot.</w:t>
      </w:r>
    </w:p>
    <w:p>
      <w:pPr>
        <w:spacing w:after="120"/>
        <w:jc w:val="left"/>
      </w:pPr>
      <w:r>
        <w:rPr>
          <w:i w:val="0"/>
          <w:sz w:val="22"/>
        </w:rPr>
        <w:t xml:space="preserve">Three features stand out for this business. First, </w:t>
      </w:r>
      <w:r>
        <w:rPr>
          <w:b/>
          <w:i w:val="0"/>
          <w:sz w:val="22"/>
        </w:rPr>
        <w:t>growth and migration</w:t>
      </w:r>
      <w:r>
        <w:rPr>
          <w:i w:val="0"/>
          <w:sz w:val="22"/>
        </w:rPr>
        <w:t xml:space="preserve">: the metro is adding higher-income transplants faster than almost any peer, and newcomers are the ideal audience for a "make sense of your new city" product. Second, a </w:t>
      </w:r>
      <w:r>
        <w:rPr>
          <w:b/>
          <w:i w:val="0"/>
          <w:sz w:val="22"/>
        </w:rPr>
        <w:t>deep events and tourism economy</w:t>
      </w:r>
      <w:r>
        <w:rPr>
          <w:i w:val="0"/>
          <w:sz w:val="22"/>
        </w:rPr>
        <w:t xml:space="preserve">: $1.8B in visitor spending and 253 serviced events a year mean a thick calendar to curate and a population primed to attend. Third, </w:t>
      </w:r>
      <w:r>
        <w:rPr>
          <w:b/>
          <w:i w:val="0"/>
          <w:sz w:val="22"/>
        </w:rPr>
        <w:t>"Gig City" digital readiness</w:t>
      </w:r>
      <w:r>
        <w:rPr>
          <w:i w:val="0"/>
          <w:sz w:val="22"/>
        </w:rPr>
        <w:t>: as the first U.S. city with citywide gigabit fiber (~70% household penetration), Chattanooga has an unusually connected, online-native population.</w:t>
      </w:r>
    </w:p>
    <w:p>
      <w:pPr>
        <w:jc w:val="center"/>
      </w:pPr>
      <w:r>
        <w:drawing>
          <wp:inline xmlns:a="http://schemas.openxmlformats.org/drawingml/2006/main" xmlns:pic="http://schemas.openxmlformats.org/drawingml/2006/picture">
            <wp:extent cx="5760720" cy="3397348"/>
            <wp:docPr id="3" name="Picture 3"/>
            <wp:cNvGraphicFramePr>
              <a:graphicFrameLocks noChangeAspect="1"/>
            </wp:cNvGraphicFramePr>
            <a:graphic>
              <a:graphicData uri="http://schemas.openxmlformats.org/drawingml/2006/picture">
                <pic:pic>
                  <pic:nvPicPr>
                    <pic:cNvPr id="0" name="fig_funnel.png"/>
                    <pic:cNvPicPr/>
                  </pic:nvPicPr>
                  <pic:blipFill>
                    <a:blip r:embed="rId11"/>
                    <a:stretch>
                      <a:fillRect/>
                    </a:stretch>
                  </pic:blipFill>
                  <pic:spPr>
                    <a:xfrm>
                      <a:off x="0" y="0"/>
                      <a:ext cx="5760720" cy="3397348"/>
                    </a:xfrm>
                    <a:prstGeom prst="rect"/>
                  </pic:spPr>
                </pic:pic>
              </a:graphicData>
            </a:graphic>
          </wp:inline>
        </w:drawing>
      </w:r>
    </w:p>
    <w:p>
      <w:pPr>
        <w:spacing w:after="240"/>
        <w:jc w:val="center"/>
      </w:pPr>
      <w:r>
        <w:rPr>
          <w:i/>
          <w:color w:val="6B7B85"/>
          <w:sz w:val="17"/>
        </w:rPr>
        <w:t>Figure 3. Top-down market sizing. The realistic three-year target captures a small slice of the engaged, able-to-pay audience.</w:t>
      </w:r>
    </w:p>
    <w:p>
      <w:pPr>
        <w:spacing w:before="200" w:after="80"/>
      </w:pPr>
      <w:r>
        <w:rPr>
          <w:b/>
          <w:color w:val="2A9D8F"/>
          <w:sz w:val="27"/>
        </w:rPr>
        <w:t>3.4 Market sizing — TAM / SAM / SOM</w:t>
      </w:r>
    </w:p>
    <w:p>
      <w:pPr>
        <w:pStyle w:val="ListBullet"/>
        <w:spacing w:after="60"/>
      </w:pPr>
      <w:r>
        <w:rPr>
          <w:b/>
          <w:sz w:val="21"/>
        </w:rPr>
        <w:t>TAM — ~470,000 MSA adults.</w:t>
      </w:r>
      <w:r>
        <w:rPr>
          <w:sz w:val="21"/>
        </w:rPr>
        <w:t xml:space="preserve"> The total universe of potential readers across the six-county metro.</w:t>
      </w:r>
    </w:p>
    <w:p>
      <w:pPr>
        <w:pStyle w:val="ListBullet"/>
        <w:spacing w:after="60"/>
      </w:pPr>
      <w:r>
        <w:rPr>
          <w:b/>
          <w:sz w:val="21"/>
        </w:rPr>
        <w:t>SAM — ~55,000 engaged, able-to-pay residents.</w:t>
      </w:r>
      <w:r>
        <w:rPr>
          <w:sz w:val="21"/>
        </w:rPr>
        <w:t xml:space="preserve"> Benchmarked against demonstrated local email engagement (NOOGAtoday's local list plus the Times Free Press's 60,000+ newsletter recipients) and an income filter (the ~80,000–105,000 MSA households above ~$75K). This is the realistically reachable, willing-to-engage audience.</w:t>
      </w:r>
    </w:p>
    <w:p>
      <w:pPr>
        <w:pStyle w:val="ListBullet"/>
        <w:spacing w:after="60"/>
      </w:pPr>
      <w:r>
        <w:rPr>
          <w:b/>
          <w:sz w:val="21"/>
        </w:rPr>
        <w:t>SOM — ~28,000 free subscribers and ~1,700 paying members within three years.</w:t>
      </w:r>
      <w:r>
        <w:rPr>
          <w:sz w:val="21"/>
        </w:rPr>
        <w:t xml:space="preserve"> A small, credible share of the SAM, consistent with comparable operators. Paid conversion is modeled at the realistic 3–6% of an engaged free list (median ~3%; up to 10% only with a strong funnel).</w:t>
      </w:r>
    </w:p>
    <w:p>
      <w:pPr>
        <w:spacing w:before="200" w:after="80"/>
      </w:pPr>
      <w:r>
        <w:rPr>
          <w:b/>
          <w:color w:val="2A9D8F"/>
          <w:sz w:val="27"/>
        </w:rPr>
        <w:t>3.5 Competitive landscape</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872"/>
            <w:shd w:val="clear" w:color="auto" w:fill="1B3A4B"/>
          </w:tcPr>
          <w:p>
            <w:pPr>
              <w:jc w:val="left"/>
            </w:pPr>
            <w:r/>
            <w:r>
              <w:rPr>
                <w:b/>
                <w:color w:val="FFFFFF"/>
                <w:sz w:val="17"/>
              </w:rPr>
              <w:t>Player</w:t>
            </w:r>
          </w:p>
        </w:tc>
        <w:tc>
          <w:tcPr>
            <w:tcW w:type="dxa" w:w="1872"/>
            <w:shd w:val="clear" w:color="auto" w:fill="1B3A4B"/>
          </w:tcPr>
          <w:p>
            <w:pPr>
              <w:jc w:val="center"/>
            </w:pPr>
            <w:r/>
            <w:r>
              <w:rPr>
                <w:b/>
                <w:color w:val="FFFFFF"/>
                <w:sz w:val="17"/>
              </w:rPr>
              <w:t>What it is</w:t>
            </w:r>
          </w:p>
        </w:tc>
        <w:tc>
          <w:tcPr>
            <w:tcW w:type="dxa" w:w="1728"/>
            <w:shd w:val="clear" w:color="auto" w:fill="1B3A4B"/>
          </w:tcPr>
          <w:p>
            <w:pPr>
              <w:jc w:val="center"/>
            </w:pPr>
            <w:r/>
            <w:r>
              <w:rPr>
                <w:b/>
                <w:color w:val="FFFFFF"/>
                <w:sz w:val="17"/>
              </w:rPr>
              <w:t>How it's funded</w:t>
            </w:r>
          </w:p>
        </w:tc>
        <w:tc>
          <w:tcPr>
            <w:tcW w:type="dxa" w:w="1872"/>
            <w:shd w:val="clear" w:color="auto" w:fill="1B3A4B"/>
          </w:tcPr>
          <w:p>
            <w:pPr>
              <w:jc w:val="center"/>
            </w:pPr>
            <w:r/>
            <w:r>
              <w:rPr>
                <w:b/>
                <w:color w:val="FFFFFF"/>
                <w:sz w:val="17"/>
              </w:rPr>
              <w:t>Strengths</w:t>
            </w:r>
          </w:p>
        </w:tc>
        <w:tc>
          <w:tcPr>
            <w:tcW w:type="dxa" w:w="2160"/>
            <w:shd w:val="clear" w:color="auto" w:fill="1B3A4B"/>
          </w:tcPr>
          <w:p>
            <w:pPr>
              <w:jc w:val="center"/>
            </w:pPr>
            <w:r/>
            <w:r>
              <w:rPr>
                <w:b/>
                <w:color w:val="FFFFFF"/>
                <w:sz w:val="17"/>
              </w:rPr>
              <w:t>Gaps / vulnerabilities</w:t>
            </w:r>
          </w:p>
        </w:tc>
      </w:tr>
      <w:tr>
        <w:tc>
          <w:tcPr>
            <w:tcW w:type="dxa" w:w="1872"/>
            <w:shd w:val="clear" w:color="auto" w:fill="EEF3F4"/>
          </w:tcPr>
          <w:p>
            <w:pPr>
              <w:jc w:val="left"/>
            </w:pPr>
            <w:r/>
            <w:r>
              <w:rPr>
                <w:b/>
                <w:color w:val="1B3A4B"/>
                <w:sz w:val="17"/>
              </w:rPr>
              <w:t>NOOGAtoday (6AM City)</w:t>
            </w:r>
          </w:p>
        </w:tc>
        <w:tc>
          <w:tcPr>
            <w:tcW w:type="dxa" w:w="1872"/>
            <w:shd w:val="clear" w:color="auto" w:fill="EEF3F4"/>
          </w:tcPr>
          <w:p>
            <w:pPr>
              <w:jc w:val="center"/>
            </w:pPr>
            <w:r/>
            <w:r>
              <w:rPr>
                <w:b w:val="0"/>
                <w:sz w:val="17"/>
              </w:rPr>
              <w:t>Free daily newsletter</w:t>
            </w:r>
          </w:p>
        </w:tc>
        <w:tc>
          <w:tcPr>
            <w:tcW w:type="dxa" w:w="1728"/>
            <w:shd w:val="clear" w:color="auto" w:fill="EEF3F4"/>
          </w:tcPr>
          <w:p>
            <w:pPr>
              <w:jc w:val="center"/>
            </w:pPr>
            <w:r/>
            <w:r>
              <w:rPr>
                <w:b w:val="0"/>
                <w:sz w:val="17"/>
              </w:rPr>
              <w:t>Advertising / sponsorship</w:t>
            </w:r>
          </w:p>
        </w:tc>
        <w:tc>
          <w:tcPr>
            <w:tcW w:type="dxa" w:w="1872"/>
            <w:shd w:val="clear" w:color="auto" w:fill="EEF3F4"/>
          </w:tcPr>
          <w:p>
            <w:pPr>
              <w:jc w:val="center"/>
            </w:pPr>
            <w:r/>
            <w:r>
              <w:rPr>
                <w:b w:val="0"/>
                <w:sz w:val="17"/>
              </w:rPr>
              <w:t>Large free local list; daily habit</w:t>
            </w:r>
          </w:p>
        </w:tc>
        <w:tc>
          <w:tcPr>
            <w:tcW w:type="dxa" w:w="2160"/>
            <w:shd w:val="clear" w:color="auto" w:fill="EEF3F4"/>
          </w:tcPr>
          <w:p>
            <w:pPr>
              <w:jc w:val="center"/>
            </w:pPr>
            <w:r/>
            <w:r>
              <w:rPr>
                <w:b w:val="0"/>
                <w:sz w:val="17"/>
              </w:rPr>
              <w:t>No paid tier; ad-driven; inbox saturation</w:t>
            </w:r>
          </w:p>
        </w:tc>
      </w:tr>
      <w:tr>
        <w:tc>
          <w:tcPr>
            <w:tcW w:type="dxa" w:w="1872"/>
            <w:shd w:val="clear" w:color="auto" w:fill="FFFFFF"/>
          </w:tcPr>
          <w:p>
            <w:pPr>
              <w:jc w:val="left"/>
            </w:pPr>
            <w:r/>
            <w:r>
              <w:rPr>
                <w:b/>
                <w:color w:val="1B3A4B"/>
                <w:sz w:val="17"/>
              </w:rPr>
              <w:t>Times Free Press</w:t>
            </w:r>
          </w:p>
        </w:tc>
        <w:tc>
          <w:tcPr>
            <w:tcW w:type="dxa" w:w="1872"/>
            <w:shd w:val="clear" w:color="auto" w:fill="FFFFFF"/>
          </w:tcPr>
          <w:p>
            <w:pPr>
              <w:jc w:val="center"/>
            </w:pPr>
            <w:r/>
            <w:r>
              <w:rPr>
                <w:b w:val="0"/>
                <w:sz w:val="17"/>
              </w:rPr>
              <w:t>Legacy daily, mostly digital</w:t>
            </w:r>
          </w:p>
        </w:tc>
        <w:tc>
          <w:tcPr>
            <w:tcW w:type="dxa" w:w="1728"/>
            <w:shd w:val="clear" w:color="auto" w:fill="FFFFFF"/>
          </w:tcPr>
          <w:p>
            <w:pPr>
              <w:jc w:val="center"/>
            </w:pPr>
            <w:r/>
            <w:r>
              <w:rPr>
                <w:b w:val="0"/>
                <w:sz w:val="17"/>
              </w:rPr>
              <w:t>Hard paywall ~$39/mo</w:t>
            </w:r>
          </w:p>
        </w:tc>
        <w:tc>
          <w:tcPr>
            <w:tcW w:type="dxa" w:w="1872"/>
            <w:shd w:val="clear" w:color="auto" w:fill="FFFFFF"/>
          </w:tcPr>
          <w:p>
            <w:pPr>
              <w:jc w:val="center"/>
            </w:pPr>
            <w:r/>
            <w:r>
              <w:rPr>
                <w:b w:val="0"/>
                <w:sz w:val="17"/>
              </w:rPr>
              <w:t>Newsroom, brand, archives</w:t>
            </w:r>
          </w:p>
        </w:tc>
        <w:tc>
          <w:tcPr>
            <w:tcW w:type="dxa" w:w="2160"/>
            <w:shd w:val="clear" w:color="auto" w:fill="FFFFFF"/>
          </w:tcPr>
          <w:p>
            <w:pPr>
              <w:jc w:val="center"/>
            </w:pPr>
            <w:r/>
            <w:r>
              <w:rPr>
                <w:b w:val="0"/>
                <w:sz w:val="17"/>
              </w:rPr>
              <w:t>Expensive; "operating at a loss"; legacy feel</w:t>
            </w:r>
          </w:p>
        </w:tc>
      </w:tr>
      <w:tr>
        <w:tc>
          <w:tcPr>
            <w:tcW w:type="dxa" w:w="1872"/>
            <w:shd w:val="clear" w:color="auto" w:fill="EEF3F4"/>
          </w:tcPr>
          <w:p>
            <w:pPr>
              <w:jc w:val="left"/>
            </w:pPr>
            <w:r/>
            <w:r>
              <w:rPr>
                <w:b/>
                <w:color w:val="1B3A4B"/>
                <w:sz w:val="17"/>
              </w:rPr>
              <w:t>The Chattanooga Pulse</w:t>
            </w:r>
          </w:p>
        </w:tc>
        <w:tc>
          <w:tcPr>
            <w:tcW w:type="dxa" w:w="1872"/>
            <w:shd w:val="clear" w:color="auto" w:fill="EEF3F4"/>
          </w:tcPr>
          <w:p>
            <w:pPr>
              <w:jc w:val="center"/>
            </w:pPr>
            <w:r/>
            <w:r>
              <w:rPr>
                <w:b w:val="0"/>
                <w:sz w:val="17"/>
              </w:rPr>
              <w:t>Alt-weekly (arts/events)</w:t>
            </w:r>
          </w:p>
        </w:tc>
        <w:tc>
          <w:tcPr>
            <w:tcW w:type="dxa" w:w="1728"/>
            <w:shd w:val="clear" w:color="auto" w:fill="EEF3F4"/>
          </w:tcPr>
          <w:p>
            <w:pPr>
              <w:jc w:val="center"/>
            </w:pPr>
            <w:r/>
            <w:r>
              <w:rPr>
                <w:b w:val="0"/>
                <w:sz w:val="17"/>
              </w:rPr>
              <w:t>Was print ads</w:t>
            </w:r>
          </w:p>
        </w:tc>
        <w:tc>
          <w:tcPr>
            <w:tcW w:type="dxa" w:w="1872"/>
            <w:shd w:val="clear" w:color="auto" w:fill="EEF3F4"/>
          </w:tcPr>
          <w:p>
            <w:pPr>
              <w:jc w:val="center"/>
            </w:pPr>
            <w:r/>
            <w:r>
              <w:rPr>
                <w:b w:val="0"/>
                <w:sz w:val="17"/>
              </w:rPr>
              <w:t>Events/arts heritage</w:t>
            </w:r>
          </w:p>
        </w:tc>
        <w:tc>
          <w:tcPr>
            <w:tcW w:type="dxa" w:w="2160"/>
            <w:shd w:val="clear" w:color="auto" w:fill="EEF3F4"/>
          </w:tcPr>
          <w:p>
            <w:pPr>
              <w:jc w:val="center"/>
            </w:pPr>
            <w:r/>
            <w:r>
              <w:rPr>
                <w:b w:val="0"/>
                <w:sz w:val="17"/>
              </w:rPr>
              <w:t>Print suspended since 2020; diminished</w:t>
            </w:r>
          </w:p>
        </w:tc>
      </w:tr>
      <w:tr>
        <w:tc>
          <w:tcPr>
            <w:tcW w:type="dxa" w:w="1872"/>
            <w:shd w:val="clear" w:color="auto" w:fill="FFFFFF"/>
          </w:tcPr>
          <w:p>
            <w:pPr>
              <w:jc w:val="left"/>
            </w:pPr>
            <w:r/>
            <w:r>
              <w:rPr>
                <w:b/>
                <w:color w:val="1B3A4B"/>
                <w:sz w:val="17"/>
              </w:rPr>
              <w:t>Chattanoogan.com</w:t>
            </w:r>
          </w:p>
        </w:tc>
        <w:tc>
          <w:tcPr>
            <w:tcW w:type="dxa" w:w="1872"/>
            <w:shd w:val="clear" w:color="auto" w:fill="FFFFFF"/>
          </w:tcPr>
          <w:p>
            <w:pPr>
              <w:jc w:val="center"/>
            </w:pPr>
            <w:r/>
            <w:r>
              <w:rPr>
                <w:b w:val="0"/>
                <w:sz w:val="17"/>
              </w:rPr>
              <w:t>Free web news daily</w:t>
            </w:r>
          </w:p>
        </w:tc>
        <w:tc>
          <w:tcPr>
            <w:tcW w:type="dxa" w:w="1728"/>
            <w:shd w:val="clear" w:color="auto" w:fill="FFFFFF"/>
          </w:tcPr>
          <w:p>
            <w:pPr>
              <w:jc w:val="center"/>
            </w:pPr>
            <w:r/>
            <w:r>
              <w:rPr>
                <w:b w:val="0"/>
                <w:sz w:val="17"/>
              </w:rPr>
              <w:t>Display ads</w:t>
            </w:r>
          </w:p>
        </w:tc>
        <w:tc>
          <w:tcPr>
            <w:tcW w:type="dxa" w:w="1872"/>
            <w:shd w:val="clear" w:color="auto" w:fill="FFFFFF"/>
          </w:tcPr>
          <w:p>
            <w:pPr>
              <w:jc w:val="center"/>
            </w:pPr>
            <w:r/>
            <w:r>
              <w:rPr>
                <w:b w:val="0"/>
                <w:sz w:val="17"/>
              </w:rPr>
              <w:t>Breaking/community news, free</w:t>
            </w:r>
          </w:p>
        </w:tc>
        <w:tc>
          <w:tcPr>
            <w:tcW w:type="dxa" w:w="2160"/>
            <w:shd w:val="clear" w:color="auto" w:fill="FFFFFF"/>
          </w:tcPr>
          <w:p>
            <w:pPr>
              <w:jc w:val="center"/>
            </w:pPr>
            <w:r/>
            <w:r>
              <w:rPr>
                <w:b w:val="0"/>
                <w:sz w:val="17"/>
              </w:rPr>
              <w:t>Utilitarian; not curated; no events</w:t>
            </w:r>
          </w:p>
        </w:tc>
      </w:tr>
      <w:tr>
        <w:tc>
          <w:tcPr>
            <w:tcW w:type="dxa" w:w="1872"/>
            <w:shd w:val="clear" w:color="auto" w:fill="EEF3F4"/>
          </w:tcPr>
          <w:p>
            <w:pPr>
              <w:jc w:val="left"/>
            </w:pPr>
            <w:r/>
            <w:r>
              <w:rPr>
                <w:b/>
                <w:color w:val="1B3A4B"/>
                <w:sz w:val="17"/>
              </w:rPr>
              <w:t>ChattaMatters</w:t>
            </w:r>
          </w:p>
        </w:tc>
        <w:tc>
          <w:tcPr>
            <w:tcW w:type="dxa" w:w="1872"/>
            <w:shd w:val="clear" w:color="auto" w:fill="EEF3F4"/>
          </w:tcPr>
          <w:p>
            <w:pPr>
              <w:jc w:val="center"/>
            </w:pPr>
            <w:r/>
            <w:r>
              <w:rPr>
                <w:b w:val="0"/>
                <w:sz w:val="17"/>
              </w:rPr>
              <w:t>Civic explainer</w:t>
            </w:r>
          </w:p>
        </w:tc>
        <w:tc>
          <w:tcPr>
            <w:tcW w:type="dxa" w:w="1728"/>
            <w:shd w:val="clear" w:color="auto" w:fill="EEF3F4"/>
          </w:tcPr>
          <w:p>
            <w:pPr>
              <w:jc w:val="center"/>
            </w:pPr>
            <w:r/>
            <w:r>
              <w:rPr>
                <w:b w:val="0"/>
                <w:sz w:val="17"/>
              </w:rPr>
              <w:t>Grant / city-funded</w:t>
            </w:r>
          </w:p>
        </w:tc>
        <w:tc>
          <w:tcPr>
            <w:tcW w:type="dxa" w:w="1872"/>
            <w:shd w:val="clear" w:color="auto" w:fill="EEF3F4"/>
          </w:tcPr>
          <w:p>
            <w:pPr>
              <w:jc w:val="center"/>
            </w:pPr>
            <w:r/>
            <w:r>
              <w:rPr>
                <w:b w:val="0"/>
                <w:sz w:val="17"/>
              </w:rPr>
              <w:t>Civic depth</w:t>
            </w:r>
          </w:p>
        </w:tc>
        <w:tc>
          <w:tcPr>
            <w:tcW w:type="dxa" w:w="2160"/>
            <w:shd w:val="clear" w:color="auto" w:fill="EEF3F4"/>
          </w:tcPr>
          <w:p>
            <w:pPr>
              <w:jc w:val="center"/>
            </w:pPr>
            <w:r/>
            <w:r>
              <w:rPr>
                <w:b w:val="0"/>
                <w:sz w:val="17"/>
              </w:rPr>
              <w:t>Narrow scope; not consumer/events</w:t>
            </w:r>
          </w:p>
        </w:tc>
      </w:tr>
      <w:tr>
        <w:tc>
          <w:tcPr>
            <w:tcW w:type="dxa" w:w="1872"/>
            <w:shd w:val="clear" w:color="auto" w:fill="FFFFFF"/>
          </w:tcPr>
          <w:p>
            <w:pPr>
              <w:jc w:val="left"/>
            </w:pPr>
            <w:r/>
            <w:r>
              <w:rPr>
                <w:b/>
                <w:color w:val="1B3A4B"/>
                <w:sz w:val="17"/>
              </w:rPr>
              <w:t>Brief Scout Media</w:t>
            </w:r>
          </w:p>
        </w:tc>
        <w:tc>
          <w:tcPr>
            <w:tcW w:type="dxa" w:w="1872"/>
            <w:shd w:val="clear" w:color="auto" w:fill="FFFFFF"/>
          </w:tcPr>
          <w:p>
            <w:pPr>
              <w:jc w:val="center"/>
            </w:pPr>
            <w:r/>
            <w:r>
              <w:rPr>
                <w:b w:val="0"/>
                <w:sz w:val="17"/>
              </w:rPr>
              <w:t>Weekly curated brief + events</w:t>
            </w:r>
          </w:p>
        </w:tc>
        <w:tc>
          <w:tcPr>
            <w:tcW w:type="dxa" w:w="1728"/>
            <w:shd w:val="clear" w:color="auto" w:fill="FFFFFF"/>
          </w:tcPr>
          <w:p>
            <w:pPr>
              <w:jc w:val="center"/>
            </w:pPr>
            <w:r/>
            <w:r>
              <w:rPr>
                <w:b w:val="0"/>
                <w:sz w:val="17"/>
              </w:rPr>
              <w:t>Members + products + events</w:t>
            </w:r>
          </w:p>
        </w:tc>
        <w:tc>
          <w:tcPr>
            <w:tcW w:type="dxa" w:w="1872"/>
            <w:shd w:val="clear" w:color="auto" w:fill="FFFFFF"/>
          </w:tcPr>
          <w:p>
            <w:pPr>
              <w:jc w:val="center"/>
            </w:pPr>
            <w:r/>
            <w:r>
              <w:rPr>
                <w:b w:val="0"/>
                <w:sz w:val="17"/>
              </w:rPr>
              <w:t>Reader-aligned; premium; events franchise</w:t>
            </w:r>
          </w:p>
        </w:tc>
        <w:tc>
          <w:tcPr>
            <w:tcW w:type="dxa" w:w="2160"/>
            <w:shd w:val="clear" w:color="auto" w:fill="FFFFFF"/>
          </w:tcPr>
          <w:p>
            <w:pPr>
              <w:jc w:val="center"/>
            </w:pPr>
            <w:r/>
            <w:r>
              <w:rPr>
                <w:b w:val="0"/>
                <w:sz w:val="17"/>
              </w:rPr>
              <w:t>New entrant; must earn trust</w:t>
            </w:r>
          </w:p>
        </w:tc>
      </w:tr>
    </w:tbl>
    <w:p>
      <w:pPr>
        <w:spacing w:after="40"/>
      </w:pPr>
    </w:p>
    <w:p>
      <w:pPr>
        <w:spacing w:after="200"/>
        <w:jc w:val="left"/>
      </w:pPr>
      <w:r>
        <w:rPr>
          <w:i/>
          <w:color w:val="6B7B85"/>
          <w:sz w:val="17"/>
        </w:rPr>
        <w:t>Table 3. Competitive landscape. The reader-funded, events-anchored, premium lane is uncontested.</w:t>
      </w:r>
    </w:p>
    <w:p>
      <w:pPr>
        <w:spacing w:after="120"/>
        <w:jc w:val="left"/>
      </w:pPr>
      <w:r>
        <w:rPr>
          <w:b/>
          <w:i w:val="0"/>
          <w:sz w:val="22"/>
        </w:rPr>
        <w:t>The whitespace is clear.</w:t>
      </w:r>
      <w:r>
        <w:rPr>
          <w:i w:val="0"/>
          <w:sz w:val="22"/>
        </w:rPr>
        <w:t xml:space="preserve"> The strongest newsletter (NOOGAtoday) is free and ad-funded; the only paid product (Times Free Press) is an expensive legacy paywall; the events/arts vehicle (The Pulse) effectively vacated the field in 2020. There is no Axios Local edition and no established paid independent Chattanooga newsletter. Brief Scout Media can be the </w:t>
      </w:r>
      <w:r>
        <w:rPr>
          <w:b/>
          <w:i w:val="0"/>
          <w:sz w:val="22"/>
        </w:rPr>
        <w:t>premium, reader-funded, events-driven</w:t>
      </w:r>
      <w:r>
        <w:rPr>
          <w:i w:val="0"/>
          <w:sz w:val="22"/>
        </w:rPr>
        <w:t xml:space="preserve"> alternative — a position incumbents are structurally unable to copy without cannibalizing their own model.</w:t>
      </w:r>
    </w:p>
    <w:p>
      <w:pPr>
        <w:spacing w:before="280" w:after="80"/>
        <w:pBdr>
          <w:bottom w:val="single" w:sz="6" w:space="2" w:color="2A9D8F"/>
        </w:pBdr>
      </w:pPr>
      <w:r>
        <w:rPr>
          <w:b/>
          <w:color w:val="1B3A4B"/>
          <w:sz w:val="34"/>
        </w:rPr>
        <w:t>4. The Business Model</w:t>
      </w:r>
    </w:p>
    <w:p>
      <w:pPr>
        <w:spacing w:after="120"/>
        <w:jc w:val="both"/>
      </w:pPr>
      <w:r>
        <w:rPr>
          <w:i w:val="0"/>
          <w:sz w:val="22"/>
        </w:rPr>
        <w:t xml:space="preserve">Brief Scout Media runs on three reinforcing revenue pillars, all owned and all reader-aligned. The newsletter is the </w:t>
      </w:r>
      <w:r>
        <w:rPr>
          <w:b/>
          <w:i w:val="0"/>
          <w:sz w:val="22"/>
        </w:rPr>
        <w:t>engine</w:t>
      </w:r>
      <w:r>
        <w:rPr>
          <w:i w:val="0"/>
          <w:sz w:val="22"/>
        </w:rPr>
        <w:t xml:space="preserve"> that builds the audience and trust; membership, products, and events are the </w:t>
      </w:r>
      <w:r>
        <w:rPr>
          <w:b/>
          <w:i w:val="0"/>
          <w:sz w:val="22"/>
        </w:rPr>
        <w:t>monetization</w:t>
      </w:r>
      <w:r>
        <w:rPr>
          <w:i w:val="0"/>
          <w:sz w:val="22"/>
        </w:rPr>
        <w:t xml:space="preserve">. Research is unambiguous that diversification is what separates sustainable local media from fragile single-stream operators — outlets with </w:t>
      </w:r>
      <w:r>
        <w:rPr>
          <w:b/>
          <w:i w:val="0"/>
          <w:sz w:val="22"/>
        </w:rPr>
        <w:t>3+ revenue streams</w:t>
      </w:r>
      <w:r>
        <w:rPr>
          <w:i w:val="0"/>
          <w:sz w:val="22"/>
        </w:rPr>
        <w:t xml:space="preserve"> are markedly more likely to be stable, and a formal business plan alone correlated with a 137% revenue increase in one LION Publishers study.</w:t>
      </w:r>
    </w:p>
    <w:p>
      <w:pPr>
        <w:spacing w:before="200" w:after="80"/>
      </w:pPr>
      <w:r>
        <w:rPr>
          <w:b/>
          <w:color w:val="2A9D8F"/>
          <w:sz w:val="27"/>
        </w:rPr>
        <w:t>4.1 Pillar 1 — Membership</w:t>
      </w:r>
    </w:p>
    <w:p>
      <w:pPr>
        <w:spacing w:after="120"/>
        <w:jc w:val="left"/>
      </w:pPr>
      <w:r>
        <w:rPr>
          <w:i w:val="0"/>
          <w:sz w:val="22"/>
        </w:rPr>
        <w:t xml:space="preserve">A paid membership (target </w:t>
      </w:r>
      <w:r>
        <w:rPr>
          <w:b/>
          <w:i w:val="0"/>
          <w:sz w:val="22"/>
        </w:rPr>
        <w:t>$8/month or $80/year</w:t>
      </w:r>
      <w:r>
        <w:rPr>
          <w:i w:val="0"/>
          <w:sz w:val="22"/>
        </w:rPr>
        <w:t xml:space="preserve">, within the proven $5–$15/mo · $50–$120/yr band for local independent media) unlocks members-only content, early event access and member pricing, the digital archive, and the sense of belonging to the cause. Modeled conversion is a conservative 3–6% of the free list; at $80–$100/yr with ~3–4% monthly churn (typical for engaged local lists), gross member lifetime value lands around </w:t>
      </w:r>
      <w:r>
        <w:rPr>
          <w:b/>
          <w:i w:val="0"/>
          <w:sz w:val="22"/>
        </w:rPr>
        <w:t>$200–$275</w:t>
      </w:r>
      <w:r>
        <w:rPr>
          <w:i w:val="0"/>
          <w:sz w:val="22"/>
        </w:rPr>
        <w:t>.</w:t>
      </w:r>
    </w:p>
    <w:p>
      <w:pPr>
        <w:spacing w:before="200" w:after="80"/>
      </w:pPr>
      <w:r>
        <w:rPr>
          <w:b/>
          <w:color w:val="2A9D8F"/>
          <w:sz w:val="27"/>
        </w:rPr>
        <w:t>4.2 Pillar 2 — Products &amp; commerce</w:t>
      </w:r>
    </w:p>
    <w:p>
      <w:pPr>
        <w:spacing w:after="120"/>
        <w:jc w:val="left"/>
      </w:pPr>
      <w:r>
        <w:rPr>
          <w:i w:val="0"/>
          <w:sz w:val="22"/>
        </w:rPr>
        <w:t xml:space="preserve">High-margin owned products turn brand affection into revenue without touching advertising: Chattanooga-pride </w:t>
      </w:r>
      <w:r>
        <w:rPr>
          <w:b/>
          <w:i w:val="0"/>
          <w:sz w:val="22"/>
        </w:rPr>
        <w:t>merchandise</w:t>
      </w:r>
      <w:r>
        <w:rPr>
          <w:i w:val="0"/>
          <w:sz w:val="22"/>
        </w:rPr>
        <w:t xml:space="preserve"> (print-on-demand to test, bulk once proven — ~$17/unit vs ~$42 on-demand), </w:t>
      </w:r>
      <w:r>
        <w:rPr>
          <w:b/>
          <w:i w:val="0"/>
          <w:sz w:val="22"/>
        </w:rPr>
        <w:t>digital city guides</w:t>
      </w:r>
      <w:r>
        <w:rPr>
          <w:i w:val="0"/>
          <w:sz w:val="22"/>
        </w:rPr>
        <w:t xml:space="preserve"> (newcomer guide, best-of guides — near-100% margin after creation), a </w:t>
      </w:r>
      <w:r>
        <w:rPr>
          <w:b/>
          <w:i w:val="0"/>
          <w:sz w:val="22"/>
        </w:rPr>
        <w:t>"Scout Card" local discount program</w:t>
      </w:r>
      <w:r>
        <w:rPr>
          <w:i w:val="0"/>
          <w:sz w:val="22"/>
        </w:rPr>
        <w:t xml:space="preserve"> (recurring, partner-funded value for members), a </w:t>
      </w:r>
      <w:r>
        <w:rPr>
          <w:b/>
          <w:i w:val="0"/>
          <w:sz w:val="22"/>
        </w:rPr>
        <w:t>job board / classifieds</w:t>
      </w:r>
      <w:r>
        <w:rPr>
          <w:i w:val="0"/>
          <w:sz w:val="22"/>
        </w:rPr>
        <w:t xml:space="preserve"> line ($200+/listing), and signature specialty items. Catskill Crew's region-themed board game (sold out in 17 days) is the proof that a beloved local brand can sell almost anything to its people.</w:t>
      </w:r>
    </w:p>
    <w:p>
      <w:pPr>
        <w:spacing w:before="200" w:after="80"/>
      </w:pPr>
      <w:r>
        <w:rPr>
          <w:b/>
          <w:color w:val="2A9D8F"/>
          <w:sz w:val="27"/>
        </w:rPr>
        <w:t>4.3 Pillar 3 — Events</w:t>
      </w:r>
    </w:p>
    <w:p>
      <w:pPr>
        <w:spacing w:after="120"/>
        <w:jc w:val="left"/>
      </w:pPr>
      <w:r>
        <w:rPr>
          <w:i w:val="0"/>
          <w:sz w:val="22"/>
        </w:rPr>
        <w:t>Events are the highest-leverage pillar and the strongest moat. Two structures:</w:t>
      </w:r>
    </w:p>
    <w:p>
      <w:pPr>
        <w:pStyle w:val="ListBullet"/>
        <w:spacing w:after="60"/>
      </w:pPr>
      <w:r>
        <w:rPr>
          <w:b/>
          <w:sz w:val="21"/>
        </w:rPr>
        <w:t>Proprietary events</w:t>
      </w:r>
      <w:r>
        <w:rPr>
          <w:sz w:val="21"/>
        </w:rPr>
        <w:t xml:space="preserve"> — ticketed gatherings the Scout owns end-to-end: member mixers, a "new to Chattanooga" newcomer night, themed tasting walks, and eventually an annual signature festival. Local consumer events cluster at a </w:t>
      </w:r>
      <w:r>
        <w:rPr>
          <w:b/>
          <w:sz w:val="21"/>
        </w:rPr>
        <w:t>$30–$50 ticket</w:t>
      </w:r>
      <w:r>
        <w:rPr>
          <w:sz w:val="21"/>
        </w:rPr>
        <w:t xml:space="preserve"> sweet spot, with </w:t>
      </w:r>
      <w:r>
        <w:rPr>
          <w:b/>
          <w:sz w:val="21"/>
        </w:rPr>
        <w:t>$40–$75 of additional per-attendee on-site spend</w:t>
      </w:r>
      <w:r>
        <w:rPr>
          <w:sz w:val="21"/>
        </w:rPr>
        <w:t>.</w:t>
      </w:r>
    </w:p>
    <w:p>
      <w:pPr>
        <w:pStyle w:val="ListBullet"/>
        <w:spacing w:after="60"/>
      </w:pPr>
      <w:r>
        <w:rPr>
          <w:b/>
          <w:sz w:val="21"/>
        </w:rPr>
        <w:t>Joint-venture events</w:t>
      </w:r>
      <w:r>
        <w:rPr>
          <w:sz w:val="21"/>
        </w:rPr>
        <w:t xml:space="preserve"> — co-produced with breweries, restaurants, venues, and festivals on a </w:t>
      </w:r>
      <w:r>
        <w:rPr>
          <w:b/>
          <w:sz w:val="21"/>
        </w:rPr>
        <w:t>revenue-share</w:t>
      </w:r>
      <w:r>
        <w:rPr>
          <w:sz w:val="21"/>
        </w:rPr>
        <w:t xml:space="preserve"> basis. The Scout brings the audience and promotion; the partner brings the space and operations; risk and cost are shared. This is the capital-light way to run frequent events without owning infrastructure.</w:t>
      </w:r>
    </w:p>
    <w:p>
      <w:pPr>
        <w:spacing w:after="120"/>
        <w:jc w:val="left"/>
      </w:pPr>
      <w:r>
        <w:rPr>
          <w:i w:val="0"/>
          <w:sz w:val="22"/>
        </w:rPr>
        <w:t>The pillar is well-validated at scale — events are tracking toward ~50% of revenue at TIME and Semafor, and the share of publishers earning meaningful event income leapt from 47% to 70% in one year — and Chattanooga's 253-event, $1.8B visitor economy is fertile ground.</w:t>
      </w:r>
    </w:p>
    <w:p>
      <w:pPr>
        <w:jc w:val="center"/>
      </w:pPr>
      <w:r>
        <w:drawing>
          <wp:inline xmlns:a="http://schemas.openxmlformats.org/drawingml/2006/main" xmlns:pic="http://schemas.openxmlformats.org/drawingml/2006/picture">
            <wp:extent cx="5760720" cy="3397348"/>
            <wp:docPr id="4" name="Picture 4"/>
            <wp:cNvGraphicFramePr>
              <a:graphicFrameLocks noChangeAspect="1"/>
            </wp:cNvGraphicFramePr>
            <a:graphic>
              <a:graphicData uri="http://schemas.openxmlformats.org/drawingml/2006/picture">
                <pic:pic>
                  <pic:nvPicPr>
                    <pic:cNvPr id="0" name="fig_events_share.png"/>
                    <pic:cNvPicPr/>
                  </pic:nvPicPr>
                  <pic:blipFill>
                    <a:blip r:embed="rId12"/>
                    <a:stretch>
                      <a:fillRect/>
                    </a:stretch>
                  </pic:blipFill>
                  <pic:spPr>
                    <a:xfrm>
                      <a:off x="0" y="0"/>
                      <a:ext cx="5760720" cy="3397348"/>
                    </a:xfrm>
                    <a:prstGeom prst="rect"/>
                  </pic:spPr>
                </pic:pic>
              </a:graphicData>
            </a:graphic>
          </wp:inline>
        </w:drawing>
      </w:r>
    </w:p>
    <w:p>
      <w:pPr>
        <w:spacing w:after="240"/>
        <w:jc w:val="center"/>
      </w:pPr>
      <w:r>
        <w:rPr>
          <w:i/>
          <w:color w:val="6B7B85"/>
          <w:sz w:val="17"/>
        </w:rPr>
        <w:t>Figure 4. Events have become a core revenue pillar for media companies of every size. Sources: company disclosures via Adweek, Digiday, A Media Operator (2024–2026).</w:t>
      </w:r>
    </w:p>
    <w:p>
      <w:pPr>
        <w:spacing w:before="200" w:after="80"/>
      </w:pPr>
      <w:r>
        <w:rPr>
          <w:b/>
          <w:color w:val="2A9D8F"/>
          <w:sz w:val="27"/>
        </w:rPr>
        <w:t>4.4 Proof points — comparable operators</w:t>
      </w:r>
    </w:p>
    <w:p>
      <w:pPr>
        <w:spacing w:after="120"/>
        <w:jc w:val="left"/>
      </w:pPr>
      <w:r>
        <w:rPr>
          <w:i w:val="0"/>
          <w:sz w:val="22"/>
        </w:rPr>
        <w:t xml:space="preserve">Brief Scout Media's model is assembled from tactics already working at named operators. The key insight: </w:t>
      </w:r>
      <w:r>
        <w:rPr>
          <w:b/>
          <w:i w:val="0"/>
          <w:sz w:val="22"/>
        </w:rPr>
        <w:t>a small, deeply engaged list can out-earn a large, shallow one</w:t>
      </w:r>
      <w:r>
        <w:rPr>
          <w:i w:val="0"/>
          <w:sz w:val="22"/>
        </w:rPr>
        <w:t xml:space="preserve"> when monetized through membership, products, and events rather than ad impressions.</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728"/>
            <w:shd w:val="clear" w:color="auto" w:fill="1B3A4B"/>
          </w:tcPr>
          <w:p>
            <w:pPr>
              <w:jc w:val="left"/>
            </w:pPr>
            <w:r/>
            <w:r>
              <w:rPr>
                <w:b/>
                <w:color w:val="FFFFFF"/>
                <w:sz w:val="17"/>
              </w:rPr>
              <w:t>Operator</w:t>
            </w:r>
          </w:p>
        </w:tc>
        <w:tc>
          <w:tcPr>
            <w:tcW w:type="dxa" w:w="1728"/>
            <w:shd w:val="clear" w:color="auto" w:fill="1B3A4B"/>
          </w:tcPr>
          <w:p>
            <w:pPr>
              <w:jc w:val="center"/>
            </w:pPr>
            <w:r/>
            <w:r>
              <w:rPr>
                <w:b/>
                <w:color w:val="FFFFFF"/>
                <w:sz w:val="17"/>
              </w:rPr>
              <w:t>Market</w:t>
            </w:r>
          </w:p>
        </w:tc>
        <w:tc>
          <w:tcPr>
            <w:tcW w:type="dxa" w:w="1728"/>
            <w:shd w:val="clear" w:color="auto" w:fill="1B3A4B"/>
          </w:tcPr>
          <w:p>
            <w:pPr>
              <w:jc w:val="center"/>
            </w:pPr>
            <w:r/>
            <w:r>
              <w:rPr>
                <w:b/>
                <w:color w:val="FFFFFF"/>
                <w:sz w:val="17"/>
              </w:rPr>
              <w:t>Subscribers</w:t>
            </w:r>
          </w:p>
        </w:tc>
        <w:tc>
          <w:tcPr>
            <w:tcW w:type="dxa" w:w="1728"/>
            <w:shd w:val="clear" w:color="auto" w:fill="1B3A4B"/>
          </w:tcPr>
          <w:p>
            <w:pPr>
              <w:jc w:val="center"/>
            </w:pPr>
            <w:r/>
            <w:r>
              <w:rPr>
                <w:b/>
                <w:color w:val="FFFFFF"/>
                <w:sz w:val="17"/>
              </w:rPr>
              <w:t>Est. revenue</w:t>
            </w:r>
          </w:p>
        </w:tc>
        <w:tc>
          <w:tcPr>
            <w:tcW w:type="dxa" w:w="2592"/>
            <w:shd w:val="clear" w:color="auto" w:fill="1B3A4B"/>
          </w:tcPr>
          <w:p>
            <w:pPr>
              <w:jc w:val="center"/>
            </w:pPr>
            <w:r/>
            <w:r>
              <w:rPr>
                <w:b/>
                <w:color w:val="FFFFFF"/>
                <w:sz w:val="17"/>
              </w:rPr>
              <w:t>Model / notes</w:t>
            </w:r>
          </w:p>
        </w:tc>
      </w:tr>
      <w:tr>
        <w:tc>
          <w:tcPr>
            <w:tcW w:type="dxa" w:w="1728"/>
            <w:shd w:val="clear" w:color="auto" w:fill="EEF3F4"/>
          </w:tcPr>
          <w:p>
            <w:pPr>
              <w:jc w:val="left"/>
            </w:pPr>
            <w:r/>
            <w:r>
              <w:rPr>
                <w:b/>
                <w:color w:val="1B3A4B"/>
                <w:sz w:val="17"/>
              </w:rPr>
              <w:t>Catskill Crew</w:t>
            </w:r>
          </w:p>
        </w:tc>
        <w:tc>
          <w:tcPr>
            <w:tcW w:type="dxa" w:w="1728"/>
            <w:shd w:val="clear" w:color="auto" w:fill="EEF3F4"/>
          </w:tcPr>
          <w:p>
            <w:pPr>
              <w:jc w:val="center"/>
            </w:pPr>
            <w:r/>
            <w:r>
              <w:rPr>
                <w:b w:val="0"/>
                <w:sz w:val="17"/>
              </w:rPr>
              <w:t>Catskills, NY</w:t>
            </w:r>
          </w:p>
        </w:tc>
        <w:tc>
          <w:tcPr>
            <w:tcW w:type="dxa" w:w="1728"/>
            <w:shd w:val="clear" w:color="auto" w:fill="EEF3F4"/>
          </w:tcPr>
          <w:p>
            <w:pPr>
              <w:jc w:val="center"/>
            </w:pPr>
            <w:r/>
            <w:r>
              <w:rPr>
                <w:b w:val="0"/>
                <w:sz w:val="17"/>
              </w:rPr>
              <w:t>&lt;20,000</w:t>
            </w:r>
          </w:p>
        </w:tc>
        <w:tc>
          <w:tcPr>
            <w:tcW w:type="dxa" w:w="1728"/>
            <w:shd w:val="clear" w:color="auto" w:fill="EEF3F4"/>
          </w:tcPr>
          <w:p>
            <w:pPr>
              <w:jc w:val="center"/>
            </w:pPr>
            <w:r/>
            <w:r>
              <w:rPr>
                <w:b w:val="0"/>
                <w:sz w:val="17"/>
              </w:rPr>
              <w:t>~$620K/yr (~$52–57K/mo)</w:t>
            </w:r>
          </w:p>
        </w:tc>
        <w:tc>
          <w:tcPr>
            <w:tcW w:type="dxa" w:w="2592"/>
            <w:shd w:val="clear" w:color="auto" w:fill="EEF3F4"/>
          </w:tcPr>
          <w:p>
            <w:pPr>
              <w:jc w:val="center"/>
            </w:pPr>
            <w:r/>
            <w:r>
              <w:rPr>
                <w:b w:val="0"/>
                <w:sz w:val="17"/>
              </w:rPr>
              <w:t>Reader/events/products (no ads), ~85% margin, 11 streams</w:t>
            </w:r>
          </w:p>
        </w:tc>
      </w:tr>
      <w:tr>
        <w:tc>
          <w:tcPr>
            <w:tcW w:type="dxa" w:w="1728"/>
            <w:shd w:val="clear" w:color="auto" w:fill="FFFFFF"/>
          </w:tcPr>
          <w:p>
            <w:pPr>
              <w:jc w:val="left"/>
            </w:pPr>
            <w:r/>
            <w:r>
              <w:rPr>
                <w:b/>
                <w:color w:val="1B3A4B"/>
                <w:sz w:val="17"/>
              </w:rPr>
              <w:t>Charlotte Ledger</w:t>
            </w:r>
          </w:p>
        </w:tc>
        <w:tc>
          <w:tcPr>
            <w:tcW w:type="dxa" w:w="1728"/>
            <w:shd w:val="clear" w:color="auto" w:fill="FFFFFF"/>
          </w:tcPr>
          <w:p>
            <w:pPr>
              <w:jc w:val="center"/>
            </w:pPr>
            <w:r/>
            <w:r>
              <w:rPr>
                <w:b w:val="0"/>
                <w:sz w:val="17"/>
              </w:rPr>
              <w:t>Charlotte, NC</w:t>
            </w:r>
          </w:p>
        </w:tc>
        <w:tc>
          <w:tcPr>
            <w:tcW w:type="dxa" w:w="1728"/>
            <w:shd w:val="clear" w:color="auto" w:fill="FFFFFF"/>
          </w:tcPr>
          <w:p>
            <w:pPr>
              <w:jc w:val="center"/>
            </w:pPr>
            <w:r/>
            <w:r>
              <w:rPr>
                <w:b w:val="0"/>
                <w:sz w:val="17"/>
              </w:rPr>
              <w:t>2,000 paid / 6,900 free</w:t>
            </w:r>
          </w:p>
        </w:tc>
        <w:tc>
          <w:tcPr>
            <w:tcW w:type="dxa" w:w="1728"/>
            <w:shd w:val="clear" w:color="auto" w:fill="FFFFFF"/>
          </w:tcPr>
          <w:p>
            <w:pPr>
              <w:jc w:val="center"/>
            </w:pPr>
            <w:r/>
            <w:r>
              <w:rPr>
                <w:b w:val="0"/>
                <w:sz w:val="17"/>
              </w:rPr>
              <w:t>~$150–175K/yr</w:t>
            </w:r>
          </w:p>
        </w:tc>
        <w:tc>
          <w:tcPr>
            <w:tcW w:type="dxa" w:w="2592"/>
            <w:shd w:val="clear" w:color="auto" w:fill="FFFFFF"/>
          </w:tcPr>
          <w:p>
            <w:pPr>
              <w:jc w:val="center"/>
            </w:pPr>
            <w:r/>
            <w:r>
              <w:rPr>
                <w:b w:val="0"/>
                <w:sz w:val="17"/>
              </w:rPr>
              <w:t>Membership ($9/mo, $99/yr)</w:t>
            </w:r>
          </w:p>
        </w:tc>
      </w:tr>
      <w:tr>
        <w:tc>
          <w:tcPr>
            <w:tcW w:type="dxa" w:w="1728"/>
            <w:shd w:val="clear" w:color="auto" w:fill="EEF3F4"/>
          </w:tcPr>
          <w:p>
            <w:pPr>
              <w:jc w:val="left"/>
            </w:pPr>
            <w:r/>
            <w:r>
              <w:rPr>
                <w:b/>
                <w:color w:val="1B3A4B"/>
                <w:sz w:val="17"/>
              </w:rPr>
              <w:t>Racket</w:t>
            </w:r>
          </w:p>
        </w:tc>
        <w:tc>
          <w:tcPr>
            <w:tcW w:type="dxa" w:w="1728"/>
            <w:shd w:val="clear" w:color="auto" w:fill="EEF3F4"/>
          </w:tcPr>
          <w:p>
            <w:pPr>
              <w:jc w:val="center"/>
            </w:pPr>
            <w:r/>
            <w:r>
              <w:rPr>
                <w:b w:val="0"/>
                <w:sz w:val="17"/>
              </w:rPr>
              <w:t>Minneapolis, MN</w:t>
            </w:r>
          </w:p>
        </w:tc>
        <w:tc>
          <w:tcPr>
            <w:tcW w:type="dxa" w:w="1728"/>
            <w:shd w:val="clear" w:color="auto" w:fill="EEF3F4"/>
          </w:tcPr>
          <w:p>
            <w:pPr>
              <w:jc w:val="center"/>
            </w:pPr>
            <w:r/>
            <w:r>
              <w:rPr>
                <w:b w:val="0"/>
                <w:sz w:val="17"/>
              </w:rPr>
              <w:t>~3–4K paid</w:t>
            </w:r>
          </w:p>
        </w:tc>
        <w:tc>
          <w:tcPr>
            <w:tcW w:type="dxa" w:w="1728"/>
            <w:shd w:val="clear" w:color="auto" w:fill="EEF3F4"/>
          </w:tcPr>
          <w:p>
            <w:pPr>
              <w:jc w:val="center"/>
            </w:pPr>
            <w:r/>
            <w:r>
              <w:rPr>
                <w:b w:val="0"/>
                <w:sz w:val="17"/>
              </w:rPr>
              <w:t>~$322K/yr</w:t>
            </w:r>
          </w:p>
        </w:tc>
        <w:tc>
          <w:tcPr>
            <w:tcW w:type="dxa" w:w="2592"/>
            <w:shd w:val="clear" w:color="auto" w:fill="EEF3F4"/>
          </w:tcPr>
          <w:p>
            <w:pPr>
              <w:jc w:val="center"/>
            </w:pPr>
            <w:r/>
            <w:r>
              <w:rPr>
                <w:b w:val="0"/>
                <w:sz w:val="17"/>
              </w:rPr>
              <w:t>Worker-owned, reader-funded</w:t>
            </w:r>
          </w:p>
        </w:tc>
      </w:tr>
      <w:tr>
        <w:tc>
          <w:tcPr>
            <w:tcW w:type="dxa" w:w="1728"/>
            <w:shd w:val="clear" w:color="auto" w:fill="FFFFFF"/>
          </w:tcPr>
          <w:p>
            <w:pPr>
              <w:jc w:val="left"/>
            </w:pPr>
            <w:r/>
            <w:r>
              <w:rPr>
                <w:b/>
                <w:color w:val="1B3A4B"/>
                <w:sz w:val="17"/>
              </w:rPr>
              <w:t>Hell Gate</w:t>
            </w:r>
          </w:p>
        </w:tc>
        <w:tc>
          <w:tcPr>
            <w:tcW w:type="dxa" w:w="1728"/>
            <w:shd w:val="clear" w:color="auto" w:fill="FFFFFF"/>
          </w:tcPr>
          <w:p>
            <w:pPr>
              <w:jc w:val="center"/>
            </w:pPr>
            <w:r/>
            <w:r>
              <w:rPr>
                <w:b w:val="0"/>
                <w:sz w:val="17"/>
              </w:rPr>
              <w:t>New York, NY</w:t>
            </w:r>
          </w:p>
        </w:tc>
        <w:tc>
          <w:tcPr>
            <w:tcW w:type="dxa" w:w="1728"/>
            <w:shd w:val="clear" w:color="auto" w:fill="FFFFFF"/>
          </w:tcPr>
          <w:p>
            <w:pPr>
              <w:jc w:val="center"/>
            </w:pPr>
            <w:r/>
            <w:r>
              <w:rPr>
                <w:b w:val="0"/>
                <w:sz w:val="17"/>
              </w:rPr>
              <w:t>~9,000 paid</w:t>
            </w:r>
          </w:p>
        </w:tc>
        <w:tc>
          <w:tcPr>
            <w:tcW w:type="dxa" w:w="1728"/>
            <w:shd w:val="clear" w:color="auto" w:fill="FFFFFF"/>
          </w:tcPr>
          <w:p>
            <w:pPr>
              <w:jc w:val="center"/>
            </w:pPr>
            <w:r/>
            <w:r>
              <w:rPr>
                <w:b w:val="0"/>
                <w:sz w:val="17"/>
              </w:rPr>
              <w:t>~$70K/mo MRR</w:t>
            </w:r>
          </w:p>
        </w:tc>
        <w:tc>
          <w:tcPr>
            <w:tcW w:type="dxa" w:w="2592"/>
            <w:shd w:val="clear" w:color="auto" w:fill="FFFFFF"/>
          </w:tcPr>
          <w:p>
            <w:pPr>
              <w:jc w:val="center"/>
            </w:pPr>
            <w:r/>
            <w:r>
              <w:rPr>
                <w:b w:val="0"/>
                <w:sz w:val="17"/>
              </w:rPr>
              <w:t>Membership co-op (~⅔ from subs)</w:t>
            </w:r>
          </w:p>
        </w:tc>
      </w:tr>
      <w:tr>
        <w:tc>
          <w:tcPr>
            <w:tcW w:type="dxa" w:w="1728"/>
            <w:shd w:val="clear" w:color="auto" w:fill="EEF3F4"/>
          </w:tcPr>
          <w:p>
            <w:pPr>
              <w:jc w:val="left"/>
            </w:pPr>
            <w:r/>
            <w:r>
              <w:rPr>
                <w:b/>
                <w:color w:val="1B3A4B"/>
                <w:sz w:val="17"/>
              </w:rPr>
              <w:t>Defector</w:t>
            </w:r>
          </w:p>
        </w:tc>
        <w:tc>
          <w:tcPr>
            <w:tcW w:type="dxa" w:w="1728"/>
            <w:shd w:val="clear" w:color="auto" w:fill="EEF3F4"/>
          </w:tcPr>
          <w:p>
            <w:pPr>
              <w:jc w:val="center"/>
            </w:pPr>
            <w:r/>
            <w:r>
              <w:rPr>
                <w:b w:val="0"/>
                <w:sz w:val="17"/>
              </w:rPr>
              <w:t>National (sports)</w:t>
            </w:r>
          </w:p>
        </w:tc>
        <w:tc>
          <w:tcPr>
            <w:tcW w:type="dxa" w:w="1728"/>
            <w:shd w:val="clear" w:color="auto" w:fill="EEF3F4"/>
          </w:tcPr>
          <w:p>
            <w:pPr>
              <w:jc w:val="center"/>
            </w:pPr>
            <w:r/>
            <w:r>
              <w:rPr>
                <w:b w:val="0"/>
                <w:sz w:val="17"/>
              </w:rPr>
              <w:t>~42,000</w:t>
            </w:r>
          </w:p>
        </w:tc>
        <w:tc>
          <w:tcPr>
            <w:tcW w:type="dxa" w:w="1728"/>
            <w:shd w:val="clear" w:color="auto" w:fill="EEF3F4"/>
          </w:tcPr>
          <w:p>
            <w:pPr>
              <w:jc w:val="center"/>
            </w:pPr>
            <w:r/>
            <w:r>
              <w:rPr>
                <w:b w:val="0"/>
                <w:sz w:val="17"/>
              </w:rPr>
              <w:t>~$4.6M/yr</w:t>
            </w:r>
          </w:p>
        </w:tc>
        <w:tc>
          <w:tcPr>
            <w:tcW w:type="dxa" w:w="2592"/>
            <w:shd w:val="clear" w:color="auto" w:fill="EEF3F4"/>
          </w:tcPr>
          <w:p>
            <w:pPr>
              <w:jc w:val="center"/>
            </w:pPr>
            <w:r/>
            <w:r>
              <w:rPr>
                <w:b w:val="0"/>
                <w:sz w:val="17"/>
              </w:rPr>
              <w:t>87% reader-funded</w:t>
            </w:r>
          </w:p>
        </w:tc>
      </w:tr>
      <w:tr>
        <w:tc>
          <w:tcPr>
            <w:tcW w:type="dxa" w:w="1728"/>
            <w:shd w:val="clear" w:color="auto" w:fill="FFFFFF"/>
          </w:tcPr>
          <w:p>
            <w:pPr>
              <w:jc w:val="left"/>
            </w:pPr>
            <w:r/>
            <w:r>
              <w:rPr>
                <w:b/>
                <w:color w:val="1B3A4B"/>
                <w:sz w:val="17"/>
              </w:rPr>
              <w:t>Naptown Scoop</w:t>
            </w:r>
          </w:p>
        </w:tc>
        <w:tc>
          <w:tcPr>
            <w:tcW w:type="dxa" w:w="1728"/>
            <w:shd w:val="clear" w:color="auto" w:fill="FFFFFF"/>
          </w:tcPr>
          <w:p>
            <w:pPr>
              <w:jc w:val="center"/>
            </w:pPr>
            <w:r/>
            <w:r>
              <w:rPr>
                <w:b w:val="0"/>
                <w:sz w:val="17"/>
              </w:rPr>
              <w:t>Annapolis, MD</w:t>
            </w:r>
          </w:p>
        </w:tc>
        <w:tc>
          <w:tcPr>
            <w:tcW w:type="dxa" w:w="1728"/>
            <w:shd w:val="clear" w:color="auto" w:fill="FFFFFF"/>
          </w:tcPr>
          <w:p>
            <w:pPr>
              <w:jc w:val="center"/>
            </w:pPr>
            <w:r/>
            <w:r>
              <w:rPr>
                <w:b w:val="0"/>
                <w:sz w:val="17"/>
              </w:rPr>
              <w:t>~18–21K</w:t>
            </w:r>
          </w:p>
        </w:tc>
        <w:tc>
          <w:tcPr>
            <w:tcW w:type="dxa" w:w="1728"/>
            <w:shd w:val="clear" w:color="auto" w:fill="FFFFFF"/>
          </w:tcPr>
          <w:p>
            <w:pPr>
              <w:jc w:val="center"/>
            </w:pPr>
            <w:r/>
            <w:r>
              <w:rPr>
                <w:b w:val="0"/>
                <w:sz w:val="17"/>
              </w:rPr>
              <w:t>~$200–300K/yr</w:t>
            </w:r>
          </w:p>
        </w:tc>
        <w:tc>
          <w:tcPr>
            <w:tcW w:type="dxa" w:w="2592"/>
            <w:shd w:val="clear" w:color="auto" w:fill="FFFFFF"/>
          </w:tcPr>
          <w:p>
            <w:pPr>
              <w:jc w:val="center"/>
            </w:pPr>
            <w:r/>
            <w:r>
              <w:rPr>
                <w:b w:val="0"/>
                <w:sz w:val="17"/>
              </w:rPr>
              <w:t>Advertising ($70 CPM) — contrast model</w:t>
            </w:r>
          </w:p>
        </w:tc>
      </w:tr>
      <w:tr>
        <w:tc>
          <w:tcPr>
            <w:tcW w:type="dxa" w:w="1728"/>
            <w:shd w:val="clear" w:color="auto" w:fill="EEF3F4"/>
          </w:tcPr>
          <w:p>
            <w:pPr>
              <w:jc w:val="left"/>
            </w:pPr>
            <w:r/>
            <w:r>
              <w:rPr>
                <w:b/>
                <w:color w:val="1B3A4B"/>
                <w:sz w:val="17"/>
              </w:rPr>
              <w:t>NOOGAtoday</w:t>
            </w:r>
          </w:p>
        </w:tc>
        <w:tc>
          <w:tcPr>
            <w:tcW w:type="dxa" w:w="1728"/>
            <w:shd w:val="clear" w:color="auto" w:fill="EEF3F4"/>
          </w:tcPr>
          <w:p>
            <w:pPr>
              <w:jc w:val="center"/>
            </w:pPr>
            <w:r/>
            <w:r>
              <w:rPr>
                <w:b w:val="0"/>
                <w:sz w:val="17"/>
              </w:rPr>
              <w:t>Chattanooga, TN</w:t>
            </w:r>
          </w:p>
        </w:tc>
        <w:tc>
          <w:tcPr>
            <w:tcW w:type="dxa" w:w="1728"/>
            <w:shd w:val="clear" w:color="auto" w:fill="EEF3F4"/>
          </w:tcPr>
          <w:p>
            <w:pPr>
              <w:jc w:val="center"/>
            </w:pPr>
            <w:r/>
            <w:r>
              <w:rPr>
                <w:b w:val="0"/>
                <w:sz w:val="17"/>
              </w:rPr>
              <w:t>~26.5K+ (2020)</w:t>
            </w:r>
          </w:p>
        </w:tc>
        <w:tc>
          <w:tcPr>
            <w:tcW w:type="dxa" w:w="1728"/>
            <w:shd w:val="clear" w:color="auto" w:fill="EEF3F4"/>
          </w:tcPr>
          <w:p>
            <w:pPr>
              <w:jc w:val="center"/>
            </w:pPr>
            <w:r/>
            <w:r>
              <w:rPr>
                <w:b w:val="0"/>
                <w:sz w:val="17"/>
              </w:rPr>
              <w:t>n/d</w:t>
            </w:r>
          </w:p>
        </w:tc>
        <w:tc>
          <w:tcPr>
            <w:tcW w:type="dxa" w:w="2592"/>
            <w:shd w:val="clear" w:color="auto" w:fill="EEF3F4"/>
          </w:tcPr>
          <w:p>
            <w:pPr>
              <w:jc w:val="center"/>
            </w:pPr>
            <w:r/>
            <w:r>
              <w:rPr>
                <w:b w:val="0"/>
                <w:sz w:val="17"/>
              </w:rPr>
              <w:t>Free, advertising — local incumbent</w:t>
            </w:r>
          </w:p>
        </w:tc>
      </w:tr>
    </w:tbl>
    <w:p>
      <w:pPr>
        <w:spacing w:after="40"/>
      </w:pPr>
    </w:p>
    <w:p>
      <w:pPr>
        <w:spacing w:after="200"/>
        <w:jc w:val="left"/>
      </w:pPr>
      <w:r>
        <w:rPr>
          <w:i/>
          <w:color w:val="6B7B85"/>
          <w:sz w:val="17"/>
        </w:rPr>
        <w:t>Table 4. Comparable local &amp; independent newsletters. Sources: beehiiv, Nieman Lab, Inbox Collective, Side Hustle Nation, company reports.</w:t>
      </w:r>
    </w:p>
    <w:p>
      <w:pPr>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fig_comparables.png"/>
                    <pic:cNvPicPr/>
                  </pic:nvPicPr>
                  <pic:blipFill>
                    <a:blip r:embed="rId13"/>
                    <a:stretch>
                      <a:fillRect/>
                    </a:stretch>
                  </pic:blipFill>
                  <pic:spPr>
                    <a:xfrm>
                      <a:off x="0" y="0"/>
                      <a:ext cx="5760720" cy="3456432"/>
                    </a:xfrm>
                    <a:prstGeom prst="rect"/>
                  </pic:spPr>
                </pic:pic>
              </a:graphicData>
            </a:graphic>
          </wp:inline>
        </w:drawing>
      </w:r>
    </w:p>
    <w:p>
      <w:pPr>
        <w:spacing w:after="240"/>
        <w:jc w:val="center"/>
      </w:pPr>
      <w:r>
        <w:rPr>
          <w:i/>
          <w:color w:val="6B7B85"/>
          <w:sz w:val="17"/>
        </w:rPr>
        <w:t>Figure 5. Revenue vs. list size for comparable operators. Reader-funded models (orange) extract far more value per subscriber than ad models.</w:t>
      </w:r>
    </w:p>
    <w:p>
      <w:pPr>
        <w:spacing w:before="280" w:after="80"/>
        <w:pBdr>
          <w:bottom w:val="single" w:sz="6" w:space="2" w:color="2A9D8F"/>
        </w:pBdr>
      </w:pPr>
      <w:r>
        <w:rPr>
          <w:b/>
          <w:color w:val="1B3A4B"/>
          <w:sz w:val="34"/>
        </w:rPr>
        <w:t>5. Product &amp; Editorial Strategy</w:t>
      </w:r>
    </w:p>
    <w:p>
      <w:pPr>
        <w:spacing w:before="200" w:after="80"/>
      </w:pPr>
      <w:r>
        <w:rPr>
          <w:b/>
          <w:color w:val="2A9D8F"/>
          <w:sz w:val="27"/>
        </w:rPr>
        <w:t>5.1 The weekly Scout</w:t>
      </w:r>
    </w:p>
    <w:p>
      <w:pPr>
        <w:spacing w:after="120"/>
        <w:jc w:val="left"/>
      </w:pPr>
      <w:r>
        <w:rPr>
          <w:i w:val="0"/>
          <w:sz w:val="22"/>
        </w:rPr>
        <w:t xml:space="preserve">Each issue is skimmable in five minutes and genuinely useful: a short read on the week's most important local development, a curated </w:t>
      </w:r>
      <w:r>
        <w:rPr>
          <w:b/>
          <w:i w:val="0"/>
          <w:sz w:val="22"/>
        </w:rPr>
        <w:t>"what to do this week"</w:t>
      </w:r>
      <w:r>
        <w:rPr>
          <w:i w:val="0"/>
          <w:sz w:val="22"/>
        </w:rPr>
        <w:t xml:space="preserve"> events rundown, a local recommendation (a place, a person, a dish), and one practical civic or insider note. The voice is warm, opinionated, and unmistakably local. Quality and consistency are the product — the free issue is the funnel for everything else.</w:t>
      </w:r>
    </w:p>
    <w:p>
      <w:pPr>
        <w:spacing w:before="200" w:after="80"/>
      </w:pPr>
      <w:r>
        <w:rPr>
          <w:b/>
          <w:color w:val="2A9D8F"/>
          <w:sz w:val="27"/>
        </w:rPr>
        <w:t>5.2 Membership tiers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584"/>
            <w:shd w:val="clear" w:color="auto" w:fill="1B3A4B"/>
          </w:tcPr>
          <w:p>
            <w:pPr>
              <w:jc w:val="left"/>
            </w:pPr>
            <w:r/>
            <w:r>
              <w:rPr>
                <w:b/>
                <w:color w:val="FFFFFF"/>
                <w:sz w:val="18"/>
              </w:rPr>
              <w:t>Tier</w:t>
            </w:r>
          </w:p>
        </w:tc>
        <w:tc>
          <w:tcPr>
            <w:tcW w:type="dxa" w:w="1728"/>
            <w:shd w:val="clear" w:color="auto" w:fill="1B3A4B"/>
          </w:tcPr>
          <w:p>
            <w:pPr>
              <w:jc w:val="center"/>
            </w:pPr>
            <w:r/>
            <w:r>
              <w:rPr>
                <w:b/>
                <w:color w:val="FFFFFF"/>
                <w:sz w:val="18"/>
              </w:rPr>
              <w:t>Price</w:t>
            </w:r>
          </w:p>
        </w:tc>
        <w:tc>
          <w:tcPr>
            <w:tcW w:type="dxa" w:w="3744"/>
            <w:shd w:val="clear" w:color="auto" w:fill="1B3A4B"/>
          </w:tcPr>
          <w:p>
            <w:pPr>
              <w:jc w:val="center"/>
            </w:pPr>
            <w:r/>
            <w:r>
              <w:rPr>
                <w:b/>
                <w:color w:val="FFFFFF"/>
                <w:sz w:val="18"/>
              </w:rPr>
              <w:t>What's included</w:t>
            </w:r>
          </w:p>
        </w:tc>
        <w:tc>
          <w:tcPr>
            <w:tcW w:type="dxa" w:w="2016"/>
            <w:shd w:val="clear" w:color="auto" w:fill="1B3A4B"/>
          </w:tcPr>
          <w:p>
            <w:pPr>
              <w:jc w:val="center"/>
            </w:pPr>
            <w:r/>
            <w:r>
              <w:rPr>
                <w:b/>
                <w:color w:val="FFFFFF"/>
                <w:sz w:val="18"/>
              </w:rPr>
              <w:t>Role</w:t>
            </w:r>
          </w:p>
        </w:tc>
      </w:tr>
      <w:tr>
        <w:tc>
          <w:tcPr>
            <w:tcW w:type="dxa" w:w="1584"/>
            <w:shd w:val="clear" w:color="auto" w:fill="EEF3F4"/>
          </w:tcPr>
          <w:p>
            <w:pPr>
              <w:jc w:val="left"/>
            </w:pPr>
            <w:r/>
            <w:r>
              <w:rPr>
                <w:b/>
                <w:color w:val="1B3A4B"/>
                <w:sz w:val="18"/>
              </w:rPr>
              <w:t>Free</w:t>
            </w:r>
          </w:p>
        </w:tc>
        <w:tc>
          <w:tcPr>
            <w:tcW w:type="dxa" w:w="1728"/>
            <w:shd w:val="clear" w:color="auto" w:fill="EEF3F4"/>
          </w:tcPr>
          <w:p>
            <w:pPr>
              <w:jc w:val="center"/>
            </w:pPr>
            <w:r/>
            <w:r>
              <w:rPr>
                <w:b w:val="0"/>
                <w:sz w:val="18"/>
              </w:rPr>
              <w:t>$0</w:t>
            </w:r>
          </w:p>
        </w:tc>
        <w:tc>
          <w:tcPr>
            <w:tcW w:type="dxa" w:w="3744"/>
            <w:shd w:val="clear" w:color="auto" w:fill="EEF3F4"/>
          </w:tcPr>
          <w:p>
            <w:pPr>
              <w:jc w:val="center"/>
            </w:pPr>
            <w:r/>
            <w:r>
              <w:rPr>
                <w:b w:val="0"/>
                <w:sz w:val="18"/>
              </w:rPr>
              <w:t>Weekly Scout newsletter; public event listings</w:t>
            </w:r>
          </w:p>
        </w:tc>
        <w:tc>
          <w:tcPr>
            <w:tcW w:type="dxa" w:w="2016"/>
            <w:shd w:val="clear" w:color="auto" w:fill="EEF3F4"/>
          </w:tcPr>
          <w:p>
            <w:pPr>
              <w:jc w:val="center"/>
            </w:pPr>
            <w:r/>
            <w:r>
              <w:rPr>
                <w:b w:val="0"/>
                <w:sz w:val="18"/>
              </w:rPr>
              <w:t>Top-of-funnel; builds the list and the habit</w:t>
            </w:r>
          </w:p>
        </w:tc>
      </w:tr>
      <w:tr>
        <w:tc>
          <w:tcPr>
            <w:tcW w:type="dxa" w:w="1584"/>
            <w:shd w:val="clear" w:color="auto" w:fill="FFFFFF"/>
          </w:tcPr>
          <w:p>
            <w:pPr>
              <w:jc w:val="left"/>
            </w:pPr>
            <w:r/>
            <w:r>
              <w:rPr>
                <w:b/>
                <w:color w:val="1B3A4B"/>
                <w:sz w:val="18"/>
              </w:rPr>
              <w:t>Member</w:t>
            </w:r>
          </w:p>
        </w:tc>
        <w:tc>
          <w:tcPr>
            <w:tcW w:type="dxa" w:w="1728"/>
            <w:shd w:val="clear" w:color="auto" w:fill="FFFFFF"/>
          </w:tcPr>
          <w:p>
            <w:pPr>
              <w:jc w:val="center"/>
            </w:pPr>
            <w:r/>
            <w:r>
              <w:rPr>
                <w:b w:val="0"/>
                <w:sz w:val="18"/>
              </w:rPr>
              <w:t>$8/mo or $80/yr</w:t>
            </w:r>
          </w:p>
        </w:tc>
        <w:tc>
          <w:tcPr>
            <w:tcW w:type="dxa" w:w="3744"/>
            <w:shd w:val="clear" w:color="auto" w:fill="FFFFFF"/>
          </w:tcPr>
          <w:p>
            <w:pPr>
              <w:jc w:val="center"/>
            </w:pPr>
            <w:r/>
            <w:r>
              <w:rPr>
                <w:b w:val="0"/>
                <w:sz w:val="18"/>
              </w:rPr>
              <w:t>Members-only deep dives &amp; archives; member event pricing; Scout Card discounts; community access</w:t>
            </w:r>
          </w:p>
        </w:tc>
        <w:tc>
          <w:tcPr>
            <w:tcW w:type="dxa" w:w="2016"/>
            <w:shd w:val="clear" w:color="auto" w:fill="FFFFFF"/>
          </w:tcPr>
          <w:p>
            <w:pPr>
              <w:jc w:val="center"/>
            </w:pPr>
            <w:r/>
            <w:r>
              <w:rPr>
                <w:b w:val="0"/>
                <w:sz w:val="18"/>
              </w:rPr>
              <w:t>Core reader-revenue tier</w:t>
            </w:r>
          </w:p>
        </w:tc>
      </w:tr>
      <w:tr>
        <w:tc>
          <w:tcPr>
            <w:tcW w:type="dxa" w:w="1584"/>
            <w:shd w:val="clear" w:color="auto" w:fill="EEF3F4"/>
          </w:tcPr>
          <w:p>
            <w:pPr>
              <w:jc w:val="left"/>
            </w:pPr>
            <w:r/>
            <w:r>
              <w:rPr>
                <w:b/>
                <w:color w:val="1B3A4B"/>
                <w:sz w:val="18"/>
              </w:rPr>
              <w:t>Founding Member</w:t>
            </w:r>
          </w:p>
        </w:tc>
        <w:tc>
          <w:tcPr>
            <w:tcW w:type="dxa" w:w="1728"/>
            <w:shd w:val="clear" w:color="auto" w:fill="EEF3F4"/>
          </w:tcPr>
          <w:p>
            <w:pPr>
              <w:jc w:val="center"/>
            </w:pPr>
            <w:r/>
            <w:r>
              <w:rPr>
                <w:b w:val="0"/>
                <w:sz w:val="18"/>
              </w:rPr>
              <w:t>$150/yr</w:t>
            </w:r>
          </w:p>
        </w:tc>
        <w:tc>
          <w:tcPr>
            <w:tcW w:type="dxa" w:w="3744"/>
            <w:shd w:val="clear" w:color="auto" w:fill="EEF3F4"/>
          </w:tcPr>
          <w:p>
            <w:pPr>
              <w:jc w:val="center"/>
            </w:pPr>
            <w:r/>
            <w:r>
              <w:rPr>
                <w:b w:val="0"/>
                <w:sz w:val="18"/>
              </w:rPr>
              <w:t>All Member benefits + signature merch, name recognition, free annual signature-event ticket</w:t>
            </w:r>
          </w:p>
        </w:tc>
        <w:tc>
          <w:tcPr>
            <w:tcW w:type="dxa" w:w="2016"/>
            <w:shd w:val="clear" w:color="auto" w:fill="EEF3F4"/>
          </w:tcPr>
          <w:p>
            <w:pPr>
              <w:jc w:val="center"/>
            </w:pPr>
            <w:r/>
            <w:r>
              <w:rPr>
                <w:b w:val="0"/>
                <w:sz w:val="18"/>
              </w:rPr>
              <w:t>Higher ARPU; superfans who fund the mission</w:t>
            </w:r>
          </w:p>
        </w:tc>
      </w:tr>
    </w:tbl>
    <w:p>
      <w:pPr>
        <w:spacing w:after="40"/>
      </w:pPr>
    </w:p>
    <w:p>
      <w:pPr>
        <w:spacing w:after="200"/>
        <w:jc w:val="left"/>
      </w:pPr>
      <w:r>
        <w:rPr>
          <w:i/>
          <w:color w:val="6B7B85"/>
          <w:sz w:val="17"/>
        </w:rPr>
        <w:t>Table 5. Membership tiers. Pricing sits within the proven local-media band and mirrors Charlotte Ledger / 404 Media / Defector.</w:t>
      </w:r>
    </w:p>
    <w:p>
      <w:pPr>
        <w:spacing w:before="200" w:after="80"/>
      </w:pPr>
      <w:r>
        <w:rPr>
          <w:b/>
          <w:color w:val="2A9D8F"/>
          <w:sz w:val="27"/>
        </w:rPr>
        <w:t>5.3 The product ladder</w:t>
      </w:r>
    </w:p>
    <w:p>
      <w:pPr>
        <w:spacing w:after="120"/>
        <w:jc w:val="left"/>
      </w:pPr>
      <w:r>
        <w:rPr>
          <w:i w:val="0"/>
          <w:sz w:val="22"/>
        </w:rPr>
        <w:t>The business is designed as an ascending ladder of commitment: a reader discovers the free Scout → becomes a habitual reader → attends a free or low-cost event → buys a guide or merch → converts to membership → upgrades to founding member and attends signature events. Each rung deepens the relationship and raises lifetime value, and every rung is reader-aligned.</w:t>
      </w:r>
    </w:p>
    <w:p>
      <w:pPr>
        <w:spacing w:before="280" w:after="80"/>
        <w:pBdr>
          <w:bottom w:val="single" w:sz="6" w:space="2" w:color="2A9D8F"/>
        </w:pBdr>
      </w:pPr>
      <w:r>
        <w:rPr>
          <w:b/>
          <w:color w:val="1B3A4B"/>
          <w:sz w:val="34"/>
        </w:rPr>
        <w:t>6. Revenue Model — Deep Dive</w:t>
      </w:r>
    </w:p>
    <w:p>
      <w:pPr>
        <w:spacing w:before="200" w:after="80"/>
      </w:pPr>
      <w:r>
        <w:rPr>
          <w:b/>
          <w:color w:val="2A9D8F"/>
          <w:sz w:val="27"/>
        </w:rPr>
        <w:t>6.1 Membership economics</w:t>
      </w:r>
    </w:p>
    <w:p>
      <w:pPr>
        <w:spacing w:after="120"/>
        <w:jc w:val="left"/>
      </w:pPr>
      <w:r>
        <w:rPr>
          <w:i w:val="0"/>
          <w:sz w:val="22"/>
        </w:rPr>
        <w:t>The table below shows annual membership revenue at a mature free-list scale of ~26,000, across a realistic grid of conversion rates and prices (net of ~3% payment processing). The base case — ~5% conversion at $80–$100 — produces a six-figure membership line on its own.</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3744"/>
            <w:shd w:val="clear" w:color="auto" w:fill="1B3A4B"/>
          </w:tcPr>
          <w:p>
            <w:pPr>
              <w:jc w:val="left"/>
            </w:pPr>
            <w:r/>
            <w:r>
              <w:rPr>
                <w:b/>
                <w:color w:val="FFFFFF"/>
                <w:sz w:val="19"/>
              </w:rPr>
              <w:t>Conversion (on 26K list)</w:t>
            </w:r>
          </w:p>
        </w:tc>
        <w:tc>
          <w:tcPr>
            <w:tcW w:type="dxa" w:w="1728"/>
            <w:shd w:val="clear" w:color="auto" w:fill="1B3A4B"/>
          </w:tcPr>
          <w:p>
            <w:pPr>
              <w:jc w:val="center"/>
            </w:pPr>
            <w:r/>
            <w:r>
              <w:rPr>
                <w:b/>
                <w:color w:val="FFFFFF"/>
                <w:sz w:val="19"/>
              </w:rPr>
              <w:t>$80/yr</w:t>
            </w:r>
          </w:p>
        </w:tc>
        <w:tc>
          <w:tcPr>
            <w:tcW w:type="dxa" w:w="1728"/>
            <w:shd w:val="clear" w:color="auto" w:fill="1B3A4B"/>
          </w:tcPr>
          <w:p>
            <w:pPr>
              <w:jc w:val="center"/>
            </w:pPr>
            <w:r/>
            <w:r>
              <w:rPr>
                <w:b/>
                <w:color w:val="FFFFFF"/>
                <w:sz w:val="19"/>
              </w:rPr>
              <w:t>$100/yr</w:t>
            </w:r>
          </w:p>
        </w:tc>
        <w:tc>
          <w:tcPr>
            <w:tcW w:type="dxa" w:w="1728"/>
            <w:shd w:val="clear" w:color="auto" w:fill="1B3A4B"/>
          </w:tcPr>
          <w:p>
            <w:pPr>
              <w:jc w:val="center"/>
            </w:pPr>
            <w:r/>
            <w:r>
              <w:rPr>
                <w:b/>
                <w:color w:val="FFFFFF"/>
                <w:sz w:val="19"/>
              </w:rPr>
              <w:t>$120/yr</w:t>
            </w:r>
          </w:p>
        </w:tc>
      </w:tr>
      <w:tr>
        <w:tc>
          <w:tcPr>
            <w:tcW w:type="dxa" w:w="3744"/>
            <w:shd w:val="clear" w:color="auto" w:fill="EEF3F4"/>
          </w:tcPr>
          <w:p>
            <w:pPr>
              <w:jc w:val="left"/>
            </w:pPr>
            <w:r/>
            <w:r>
              <w:rPr>
                <w:b/>
                <w:color w:val="1B3A4B"/>
                <w:sz w:val="19"/>
              </w:rPr>
              <w:t>3%  (780 members)</w:t>
            </w:r>
          </w:p>
        </w:tc>
        <w:tc>
          <w:tcPr>
            <w:tcW w:type="dxa" w:w="1728"/>
            <w:shd w:val="clear" w:color="auto" w:fill="EEF3F4"/>
          </w:tcPr>
          <w:p>
            <w:pPr>
              <w:jc w:val="center"/>
            </w:pPr>
            <w:r/>
            <w:r>
              <w:rPr>
                <w:b w:val="0"/>
                <w:sz w:val="19"/>
              </w:rPr>
              <w:t>$61K</w:t>
            </w:r>
          </w:p>
        </w:tc>
        <w:tc>
          <w:tcPr>
            <w:tcW w:type="dxa" w:w="1728"/>
            <w:shd w:val="clear" w:color="auto" w:fill="EEF3F4"/>
          </w:tcPr>
          <w:p>
            <w:pPr>
              <w:jc w:val="center"/>
            </w:pPr>
            <w:r/>
            <w:r>
              <w:rPr>
                <w:b w:val="0"/>
                <w:sz w:val="19"/>
              </w:rPr>
              <w:t>$76K</w:t>
            </w:r>
          </w:p>
        </w:tc>
        <w:tc>
          <w:tcPr>
            <w:tcW w:type="dxa" w:w="1728"/>
            <w:shd w:val="clear" w:color="auto" w:fill="EEF3F4"/>
          </w:tcPr>
          <w:p>
            <w:pPr>
              <w:jc w:val="center"/>
            </w:pPr>
            <w:r/>
            <w:r>
              <w:rPr>
                <w:b w:val="0"/>
                <w:sz w:val="19"/>
              </w:rPr>
              <w:t>$91K</w:t>
            </w:r>
          </w:p>
        </w:tc>
      </w:tr>
      <w:tr>
        <w:tc>
          <w:tcPr>
            <w:tcW w:type="dxa" w:w="3744"/>
            <w:shd w:val="clear" w:color="auto" w:fill="FFFFFF"/>
          </w:tcPr>
          <w:p>
            <w:pPr>
              <w:jc w:val="left"/>
            </w:pPr>
            <w:r/>
            <w:r>
              <w:rPr>
                <w:b/>
                <w:color w:val="1B3A4B"/>
                <w:sz w:val="19"/>
              </w:rPr>
              <w:t>5%  (1,300 members)</w:t>
            </w:r>
          </w:p>
        </w:tc>
        <w:tc>
          <w:tcPr>
            <w:tcW w:type="dxa" w:w="1728"/>
            <w:shd w:val="clear" w:color="auto" w:fill="FFFFFF"/>
          </w:tcPr>
          <w:p>
            <w:pPr>
              <w:jc w:val="center"/>
            </w:pPr>
            <w:r/>
            <w:r>
              <w:rPr>
                <w:b w:val="0"/>
                <w:sz w:val="19"/>
              </w:rPr>
              <w:t>$101K</w:t>
            </w:r>
          </w:p>
        </w:tc>
        <w:tc>
          <w:tcPr>
            <w:tcW w:type="dxa" w:w="1728"/>
            <w:shd w:val="clear" w:color="auto" w:fill="FFFFFF"/>
          </w:tcPr>
          <w:p>
            <w:pPr>
              <w:jc w:val="center"/>
            </w:pPr>
            <w:r/>
            <w:r>
              <w:rPr>
                <w:b w:val="0"/>
                <w:sz w:val="19"/>
              </w:rPr>
              <w:t>$126K</w:t>
            </w:r>
          </w:p>
        </w:tc>
        <w:tc>
          <w:tcPr>
            <w:tcW w:type="dxa" w:w="1728"/>
            <w:shd w:val="clear" w:color="auto" w:fill="FFFFFF"/>
          </w:tcPr>
          <w:p>
            <w:pPr>
              <w:jc w:val="center"/>
            </w:pPr>
            <w:r/>
            <w:r>
              <w:rPr>
                <w:b w:val="0"/>
                <w:sz w:val="19"/>
              </w:rPr>
              <w:t>$151K</w:t>
            </w:r>
          </w:p>
        </w:tc>
      </w:tr>
      <w:tr>
        <w:tc>
          <w:tcPr>
            <w:tcW w:type="dxa" w:w="3744"/>
            <w:shd w:val="clear" w:color="auto" w:fill="EEF3F4"/>
          </w:tcPr>
          <w:p>
            <w:pPr>
              <w:jc w:val="left"/>
            </w:pPr>
            <w:r/>
            <w:r>
              <w:rPr>
                <w:b/>
                <w:color w:val="1B3A4B"/>
                <w:sz w:val="19"/>
              </w:rPr>
              <w:t>7%  (1,820 members)</w:t>
            </w:r>
          </w:p>
        </w:tc>
        <w:tc>
          <w:tcPr>
            <w:tcW w:type="dxa" w:w="1728"/>
            <w:shd w:val="clear" w:color="auto" w:fill="EEF3F4"/>
          </w:tcPr>
          <w:p>
            <w:pPr>
              <w:jc w:val="center"/>
            </w:pPr>
            <w:r/>
            <w:r>
              <w:rPr>
                <w:b w:val="0"/>
                <w:sz w:val="19"/>
              </w:rPr>
              <w:t>$141K</w:t>
            </w:r>
          </w:p>
        </w:tc>
        <w:tc>
          <w:tcPr>
            <w:tcW w:type="dxa" w:w="1728"/>
            <w:shd w:val="clear" w:color="auto" w:fill="EEF3F4"/>
          </w:tcPr>
          <w:p>
            <w:pPr>
              <w:jc w:val="center"/>
            </w:pPr>
            <w:r/>
            <w:r>
              <w:rPr>
                <w:b w:val="0"/>
                <w:sz w:val="19"/>
              </w:rPr>
              <w:t>$177K</w:t>
            </w:r>
          </w:p>
        </w:tc>
        <w:tc>
          <w:tcPr>
            <w:tcW w:type="dxa" w:w="1728"/>
            <w:shd w:val="clear" w:color="auto" w:fill="EEF3F4"/>
          </w:tcPr>
          <w:p>
            <w:pPr>
              <w:jc w:val="center"/>
            </w:pPr>
            <w:r/>
            <w:r>
              <w:rPr>
                <w:b w:val="0"/>
                <w:sz w:val="19"/>
              </w:rPr>
              <w:t>$212K</w:t>
            </w:r>
          </w:p>
        </w:tc>
      </w:tr>
    </w:tbl>
    <w:p>
      <w:pPr>
        <w:spacing w:after="40"/>
      </w:pPr>
    </w:p>
    <w:p>
      <w:pPr>
        <w:spacing w:after="200"/>
        <w:jc w:val="left"/>
      </w:pPr>
      <w:r>
        <w:rPr>
          <w:i/>
          <w:color w:val="6B7B85"/>
          <w:sz w:val="17"/>
        </w:rPr>
        <w:t>Table 6. Annual membership-revenue sensitivity (net of payment fees).</w:t>
      </w:r>
    </w:p>
    <w:p>
      <w:pPr>
        <w:spacing w:before="200" w:after="80"/>
      </w:pPr>
      <w:r>
        <w:rPr>
          <w:b/>
          <w:color w:val="2A9D8F"/>
          <w:sz w:val="27"/>
        </w:rPr>
        <w:t>6.2 Event economics</w:t>
      </w:r>
    </w:p>
    <w:p>
      <w:pPr>
        <w:spacing w:after="120"/>
        <w:jc w:val="left"/>
      </w:pPr>
      <w:r>
        <w:rPr>
          <w:i w:val="0"/>
          <w:sz w:val="22"/>
        </w:rPr>
        <w:t>Events range from low-cost community gatherings to a signature annual festival. Illustrative unit economics for representative event types:</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2160"/>
            <w:shd w:val="clear" w:color="auto" w:fill="1B3A4B"/>
          </w:tcPr>
          <w:p>
            <w:pPr>
              <w:jc w:val="left"/>
            </w:pPr>
            <w:r/>
            <w:r>
              <w:rPr>
                <w:b/>
                <w:color w:val="FFFFFF"/>
                <w:sz w:val="17"/>
              </w:rPr>
              <w:t>Event type</w:t>
            </w:r>
          </w:p>
        </w:tc>
        <w:tc>
          <w:tcPr>
            <w:tcW w:type="dxa" w:w="1440"/>
            <w:shd w:val="clear" w:color="auto" w:fill="1B3A4B"/>
          </w:tcPr>
          <w:p>
            <w:pPr>
              <w:jc w:val="center"/>
            </w:pPr>
            <w:r/>
            <w:r>
              <w:rPr>
                <w:b/>
                <w:color w:val="FFFFFF"/>
                <w:sz w:val="17"/>
              </w:rPr>
              <w:t>Typical attend.</w:t>
            </w:r>
          </w:p>
        </w:tc>
        <w:tc>
          <w:tcPr>
            <w:tcW w:type="dxa" w:w="1296"/>
            <w:shd w:val="clear" w:color="auto" w:fill="1B3A4B"/>
          </w:tcPr>
          <w:p>
            <w:pPr>
              <w:jc w:val="center"/>
            </w:pPr>
            <w:r/>
            <w:r>
              <w:rPr>
                <w:b/>
                <w:color w:val="FFFFFF"/>
                <w:sz w:val="17"/>
              </w:rPr>
              <w:t>Ticket</w:t>
            </w:r>
          </w:p>
        </w:tc>
        <w:tc>
          <w:tcPr>
            <w:tcW w:type="dxa" w:w="1440"/>
            <w:shd w:val="clear" w:color="auto" w:fill="1B3A4B"/>
          </w:tcPr>
          <w:p>
            <w:pPr>
              <w:jc w:val="center"/>
            </w:pPr>
            <w:r/>
            <w:r>
              <w:rPr>
                <w:b/>
                <w:color w:val="FFFFFF"/>
                <w:sz w:val="17"/>
              </w:rPr>
              <w:t>On-site spend</w:t>
            </w:r>
          </w:p>
        </w:tc>
        <w:tc>
          <w:tcPr>
            <w:tcW w:type="dxa" w:w="1728"/>
            <w:shd w:val="clear" w:color="auto" w:fill="1B3A4B"/>
          </w:tcPr>
          <w:p>
            <w:pPr>
              <w:jc w:val="center"/>
            </w:pPr>
            <w:r/>
            <w:r>
              <w:rPr>
                <w:b/>
                <w:color w:val="FFFFFF"/>
                <w:sz w:val="17"/>
              </w:rPr>
              <w:t>Est. net to Scout</w:t>
            </w:r>
          </w:p>
        </w:tc>
        <w:tc>
          <w:tcPr>
            <w:tcW w:type="dxa" w:w="2016"/>
            <w:shd w:val="clear" w:color="auto" w:fill="1B3A4B"/>
          </w:tcPr>
          <w:p>
            <w:pPr>
              <w:jc w:val="center"/>
            </w:pPr>
            <w:r/>
            <w:r>
              <w:rPr>
                <w:b/>
                <w:color w:val="FFFFFF"/>
                <w:sz w:val="17"/>
              </w:rPr>
              <w:t>Strategic role</w:t>
            </w:r>
          </w:p>
        </w:tc>
      </w:tr>
      <w:tr>
        <w:tc>
          <w:tcPr>
            <w:tcW w:type="dxa" w:w="2160"/>
            <w:shd w:val="clear" w:color="auto" w:fill="EEF3F4"/>
          </w:tcPr>
          <w:p>
            <w:pPr>
              <w:jc w:val="left"/>
            </w:pPr>
            <w:r/>
            <w:r>
              <w:rPr>
                <w:b/>
                <w:color w:val="1B3A4B"/>
                <w:sz w:val="17"/>
              </w:rPr>
              <w:t>Member mixer (JV bar/venue)</w:t>
            </w:r>
          </w:p>
        </w:tc>
        <w:tc>
          <w:tcPr>
            <w:tcW w:type="dxa" w:w="1440"/>
            <w:shd w:val="clear" w:color="auto" w:fill="EEF3F4"/>
          </w:tcPr>
          <w:p>
            <w:pPr>
              <w:jc w:val="center"/>
            </w:pPr>
            <w:r/>
            <w:r>
              <w:rPr>
                <w:b w:val="0"/>
                <w:sz w:val="17"/>
              </w:rPr>
              <w:t>60</w:t>
            </w:r>
          </w:p>
        </w:tc>
        <w:tc>
          <w:tcPr>
            <w:tcW w:type="dxa" w:w="1296"/>
            <w:shd w:val="clear" w:color="auto" w:fill="EEF3F4"/>
          </w:tcPr>
          <w:p>
            <w:pPr>
              <w:jc w:val="center"/>
            </w:pPr>
            <w:r/>
            <w:r>
              <w:rPr>
                <w:b w:val="0"/>
                <w:sz w:val="17"/>
              </w:rPr>
              <w:t>Free / $5</w:t>
            </w:r>
          </w:p>
        </w:tc>
        <w:tc>
          <w:tcPr>
            <w:tcW w:type="dxa" w:w="1440"/>
            <w:shd w:val="clear" w:color="auto" w:fill="EEF3F4"/>
          </w:tcPr>
          <w:p>
            <w:pPr>
              <w:jc w:val="center"/>
            </w:pPr>
            <w:r/>
            <w:r>
              <w:rPr>
                <w:b w:val="0"/>
                <w:sz w:val="17"/>
              </w:rPr>
              <w:t>$5–10</w:t>
            </w:r>
          </w:p>
        </w:tc>
        <w:tc>
          <w:tcPr>
            <w:tcW w:type="dxa" w:w="1728"/>
            <w:shd w:val="clear" w:color="auto" w:fill="EEF3F4"/>
          </w:tcPr>
          <w:p>
            <w:pPr>
              <w:jc w:val="center"/>
            </w:pPr>
            <w:r/>
            <w:r>
              <w:rPr>
                <w:b w:val="0"/>
                <w:sz w:val="17"/>
              </w:rPr>
              <w:t>$300–600</w:t>
            </w:r>
          </w:p>
        </w:tc>
        <w:tc>
          <w:tcPr>
            <w:tcW w:type="dxa" w:w="2016"/>
            <w:shd w:val="clear" w:color="auto" w:fill="EEF3F4"/>
          </w:tcPr>
          <w:p>
            <w:pPr>
              <w:jc w:val="center"/>
            </w:pPr>
            <w:r/>
            <w:r>
              <w:rPr>
                <w:b w:val="0"/>
                <w:sz w:val="17"/>
              </w:rPr>
              <w:t>Retention + funnel</w:t>
            </w:r>
          </w:p>
        </w:tc>
      </w:tr>
      <w:tr>
        <w:tc>
          <w:tcPr>
            <w:tcW w:type="dxa" w:w="2160"/>
            <w:shd w:val="clear" w:color="auto" w:fill="FFFFFF"/>
          </w:tcPr>
          <w:p>
            <w:pPr>
              <w:jc w:val="left"/>
            </w:pPr>
            <w:r/>
            <w:r>
              <w:rPr>
                <w:b/>
                <w:color w:val="1B3A4B"/>
                <w:sz w:val="17"/>
              </w:rPr>
              <w:t>Tasting walk / sip &amp; stroll</w:t>
            </w:r>
          </w:p>
        </w:tc>
        <w:tc>
          <w:tcPr>
            <w:tcW w:type="dxa" w:w="1440"/>
            <w:shd w:val="clear" w:color="auto" w:fill="FFFFFF"/>
          </w:tcPr>
          <w:p>
            <w:pPr>
              <w:jc w:val="center"/>
            </w:pPr>
            <w:r/>
            <w:r>
              <w:rPr>
                <w:b w:val="0"/>
                <w:sz w:val="17"/>
              </w:rPr>
              <w:t>150</w:t>
            </w:r>
          </w:p>
        </w:tc>
        <w:tc>
          <w:tcPr>
            <w:tcW w:type="dxa" w:w="1296"/>
            <w:shd w:val="clear" w:color="auto" w:fill="FFFFFF"/>
          </w:tcPr>
          <w:p>
            <w:pPr>
              <w:jc w:val="center"/>
            </w:pPr>
            <w:r/>
            <w:r>
              <w:rPr>
                <w:b w:val="0"/>
                <w:sz w:val="17"/>
              </w:rPr>
              <w:t>$40</w:t>
            </w:r>
          </w:p>
        </w:tc>
        <w:tc>
          <w:tcPr>
            <w:tcW w:type="dxa" w:w="1440"/>
            <w:shd w:val="clear" w:color="auto" w:fill="FFFFFF"/>
          </w:tcPr>
          <w:p>
            <w:pPr>
              <w:jc w:val="center"/>
            </w:pPr>
            <w:r/>
            <w:r>
              <w:rPr>
                <w:b w:val="0"/>
                <w:sz w:val="17"/>
              </w:rPr>
              <w:t>$15–20</w:t>
            </w:r>
          </w:p>
        </w:tc>
        <w:tc>
          <w:tcPr>
            <w:tcW w:type="dxa" w:w="1728"/>
            <w:shd w:val="clear" w:color="auto" w:fill="FFFFFF"/>
          </w:tcPr>
          <w:p>
            <w:pPr>
              <w:jc w:val="center"/>
            </w:pPr>
            <w:r/>
            <w:r>
              <w:rPr>
                <w:b w:val="0"/>
                <w:sz w:val="17"/>
              </w:rPr>
              <w:t>$3,500–4,500</w:t>
            </w:r>
          </w:p>
        </w:tc>
        <w:tc>
          <w:tcPr>
            <w:tcW w:type="dxa" w:w="2016"/>
            <w:shd w:val="clear" w:color="auto" w:fill="FFFFFF"/>
          </w:tcPr>
          <w:p>
            <w:pPr>
              <w:jc w:val="center"/>
            </w:pPr>
            <w:r/>
            <w:r>
              <w:rPr>
                <w:b w:val="0"/>
                <w:sz w:val="17"/>
              </w:rPr>
              <w:t>Ticket + partner share</w:t>
            </w:r>
          </w:p>
        </w:tc>
      </w:tr>
      <w:tr>
        <w:tc>
          <w:tcPr>
            <w:tcW w:type="dxa" w:w="2160"/>
            <w:shd w:val="clear" w:color="auto" w:fill="EEF3F4"/>
          </w:tcPr>
          <w:p>
            <w:pPr>
              <w:jc w:val="left"/>
            </w:pPr>
            <w:r/>
            <w:r>
              <w:rPr>
                <w:b/>
                <w:color w:val="1B3A4B"/>
                <w:sz w:val="17"/>
              </w:rPr>
              <w:t>Newcomer night (quarterly)</w:t>
            </w:r>
          </w:p>
        </w:tc>
        <w:tc>
          <w:tcPr>
            <w:tcW w:type="dxa" w:w="1440"/>
            <w:shd w:val="clear" w:color="auto" w:fill="EEF3F4"/>
          </w:tcPr>
          <w:p>
            <w:pPr>
              <w:jc w:val="center"/>
            </w:pPr>
            <w:r/>
            <w:r>
              <w:rPr>
                <w:b w:val="0"/>
                <w:sz w:val="17"/>
              </w:rPr>
              <w:t>100</w:t>
            </w:r>
          </w:p>
        </w:tc>
        <w:tc>
          <w:tcPr>
            <w:tcW w:type="dxa" w:w="1296"/>
            <w:shd w:val="clear" w:color="auto" w:fill="EEF3F4"/>
          </w:tcPr>
          <w:p>
            <w:pPr>
              <w:jc w:val="center"/>
            </w:pPr>
            <w:r/>
            <w:r>
              <w:rPr>
                <w:b w:val="0"/>
                <w:sz w:val="17"/>
              </w:rPr>
              <w:t>$25</w:t>
            </w:r>
          </w:p>
        </w:tc>
        <w:tc>
          <w:tcPr>
            <w:tcW w:type="dxa" w:w="1440"/>
            <w:shd w:val="clear" w:color="auto" w:fill="EEF3F4"/>
          </w:tcPr>
          <w:p>
            <w:pPr>
              <w:jc w:val="center"/>
            </w:pPr>
            <w:r/>
            <w:r>
              <w:rPr>
                <w:b w:val="0"/>
                <w:sz w:val="17"/>
              </w:rPr>
              <w:t>$10</w:t>
            </w:r>
          </w:p>
        </w:tc>
        <w:tc>
          <w:tcPr>
            <w:tcW w:type="dxa" w:w="1728"/>
            <w:shd w:val="clear" w:color="auto" w:fill="EEF3F4"/>
          </w:tcPr>
          <w:p>
            <w:pPr>
              <w:jc w:val="center"/>
            </w:pPr>
            <w:r/>
            <w:r>
              <w:rPr>
                <w:b w:val="0"/>
                <w:sz w:val="17"/>
              </w:rPr>
              <w:t>$1,800–2,500</w:t>
            </w:r>
          </w:p>
        </w:tc>
        <w:tc>
          <w:tcPr>
            <w:tcW w:type="dxa" w:w="2016"/>
            <w:shd w:val="clear" w:color="auto" w:fill="EEF3F4"/>
          </w:tcPr>
          <w:p>
            <w:pPr>
              <w:jc w:val="center"/>
            </w:pPr>
            <w:r/>
            <w:r>
              <w:rPr>
                <w:b w:val="0"/>
                <w:sz w:val="17"/>
              </w:rPr>
              <w:t>Onboards transplants</w:t>
            </w:r>
          </w:p>
        </w:tc>
      </w:tr>
      <w:tr>
        <w:tc>
          <w:tcPr>
            <w:tcW w:type="dxa" w:w="2160"/>
            <w:shd w:val="clear" w:color="auto" w:fill="FFFFFF"/>
          </w:tcPr>
          <w:p>
            <w:pPr>
              <w:jc w:val="left"/>
            </w:pPr>
            <w:r/>
            <w:r>
              <w:rPr>
                <w:b/>
                <w:color w:val="1B3A4B"/>
                <w:sz w:val="17"/>
              </w:rPr>
              <w:t>Signature festival (annual)</w:t>
            </w:r>
          </w:p>
        </w:tc>
        <w:tc>
          <w:tcPr>
            <w:tcW w:type="dxa" w:w="1440"/>
            <w:shd w:val="clear" w:color="auto" w:fill="FFFFFF"/>
          </w:tcPr>
          <w:p>
            <w:pPr>
              <w:jc w:val="center"/>
            </w:pPr>
            <w:r/>
            <w:r>
              <w:rPr>
                <w:b w:val="0"/>
                <w:sz w:val="17"/>
              </w:rPr>
              <w:t>1,500</w:t>
            </w:r>
          </w:p>
        </w:tc>
        <w:tc>
          <w:tcPr>
            <w:tcW w:type="dxa" w:w="1296"/>
            <w:shd w:val="clear" w:color="auto" w:fill="FFFFFF"/>
          </w:tcPr>
          <w:p>
            <w:pPr>
              <w:jc w:val="center"/>
            </w:pPr>
            <w:r/>
            <w:r>
              <w:rPr>
                <w:b w:val="0"/>
                <w:sz w:val="17"/>
              </w:rPr>
              <w:t>$35</w:t>
            </w:r>
          </w:p>
        </w:tc>
        <w:tc>
          <w:tcPr>
            <w:tcW w:type="dxa" w:w="1440"/>
            <w:shd w:val="clear" w:color="auto" w:fill="FFFFFF"/>
          </w:tcPr>
          <w:p>
            <w:pPr>
              <w:jc w:val="center"/>
            </w:pPr>
            <w:r/>
            <w:r>
              <w:rPr>
                <w:b w:val="0"/>
                <w:sz w:val="17"/>
              </w:rPr>
              <w:t>$50+</w:t>
            </w:r>
          </w:p>
        </w:tc>
        <w:tc>
          <w:tcPr>
            <w:tcW w:type="dxa" w:w="1728"/>
            <w:shd w:val="clear" w:color="auto" w:fill="FFFFFF"/>
          </w:tcPr>
          <w:p>
            <w:pPr>
              <w:jc w:val="center"/>
            </w:pPr>
            <w:r/>
            <w:r>
              <w:rPr>
                <w:b w:val="0"/>
                <w:sz w:val="17"/>
              </w:rPr>
              <w:t>$30,000–40,000</w:t>
            </w:r>
          </w:p>
        </w:tc>
        <w:tc>
          <w:tcPr>
            <w:tcW w:type="dxa" w:w="2016"/>
            <w:shd w:val="clear" w:color="auto" w:fill="FFFFFF"/>
          </w:tcPr>
          <w:p>
            <w:pPr>
              <w:jc w:val="center"/>
            </w:pPr>
            <w:r/>
            <w:r>
              <w:rPr>
                <w:b w:val="0"/>
                <w:sz w:val="17"/>
              </w:rPr>
              <w:t>Brand + sponsorship-free gate/commerce</w:t>
            </w:r>
          </w:p>
        </w:tc>
      </w:tr>
    </w:tbl>
    <w:p>
      <w:pPr>
        <w:spacing w:after="40"/>
      </w:pPr>
    </w:p>
    <w:p>
      <w:pPr>
        <w:spacing w:after="200"/>
        <w:jc w:val="left"/>
      </w:pPr>
      <w:r>
        <w:rPr>
          <w:i/>
          <w:color w:val="6B7B85"/>
          <w:sz w:val="17"/>
        </w:rPr>
        <w:t>Table 7. Illustrative event unit economics. Ticket and on-site figures benchmarked to local consumer-event data (Eventbrite, Ticket Fairy, regional festivals).</w:t>
      </w:r>
    </w:p>
    <w:p>
      <w:pPr>
        <w:spacing w:after="120"/>
        <w:jc w:val="left"/>
      </w:pPr>
      <w:r>
        <w:rPr>
          <w:i w:val="0"/>
          <w:sz w:val="22"/>
        </w:rPr>
        <w:t xml:space="preserve">Joint-venture structures keep events capital-light: the partner supplies the venue, alcohol license, and operations; the Scout supplies the audience and promotion; the two share gate and/or food-and-beverage revenue. Note that because the Scout takes no in-newsletter sponsorship, </w:t>
      </w:r>
      <w:r>
        <w:rPr>
          <w:b/>
          <w:i w:val="0"/>
          <w:sz w:val="22"/>
        </w:rPr>
        <w:t>event sponsorship is treated separately</w:t>
      </w:r>
      <w:r>
        <w:rPr>
          <w:i w:val="0"/>
          <w:sz w:val="22"/>
        </w:rPr>
        <w:t xml:space="preserve"> — it is permissible to have a brewery co-host an event, since that is a partnership around an experience, not a sale of the reader's inbox attention. (If the founder prefers absolute purity, events can run on tickets and commerce alone.)</w:t>
      </w:r>
    </w:p>
    <w:p>
      <w:pPr>
        <w:spacing w:before="200" w:after="80"/>
      </w:pPr>
      <w:r>
        <w:rPr>
          <w:b/>
          <w:color w:val="2A9D8F"/>
          <w:sz w:val="27"/>
        </w:rPr>
        <w:t>6.3 Products &amp; commerce</w:t>
      </w:r>
    </w:p>
    <w:p>
      <w:pPr>
        <w:spacing w:after="120"/>
        <w:jc w:val="left"/>
      </w:pPr>
      <w:r>
        <w:rPr>
          <w:i w:val="0"/>
          <w:sz w:val="22"/>
        </w:rPr>
        <w:t>Merchandise begins print-on-demand (zero inventory risk) and shifts proven designs to bulk screen-print (~$17/unit vs ~$42 on-demand) once demand is validated. Digital guides carry near-100% margins after creation. The Scout Card discount program is a recurring, partner-funded member perk that costs the Scout little and deepens member value. A job board/classifieds line adds modest, passive revenue ($200+/30-day listing).</w:t>
      </w:r>
    </w:p>
    <w:p>
      <w:pPr>
        <w:spacing w:before="280" w:after="80"/>
        <w:pBdr>
          <w:bottom w:val="single" w:sz="6" w:space="2" w:color="2A9D8F"/>
        </w:pBdr>
      </w:pPr>
      <w:r>
        <w:rPr>
          <w:b/>
          <w:color w:val="1B3A4B"/>
          <w:sz w:val="34"/>
        </w:rPr>
        <w:t>7. Go-to-Market &amp; Growth Strategy</w:t>
      </w:r>
    </w:p>
    <w:p>
      <w:pPr>
        <w:spacing w:after="120"/>
        <w:jc w:val="both"/>
      </w:pPr>
      <w:r>
        <w:rPr>
          <w:b/>
          <w:i w:val="0"/>
          <w:sz w:val="22"/>
        </w:rPr>
        <w:t>Critical constraint:</w:t>
      </w:r>
      <w:r>
        <w:rPr>
          <w:i w:val="0"/>
          <w:sz w:val="22"/>
        </w:rPr>
        <w:t xml:space="preserve"> geo-restricted local newsletters generally cannot use the paid acquisition networks (beehiiv Boosts, SparkLoop) that national newsletters rely on, because those deliver out-of-market subscribers. Growth must therefore come from </w:t>
      </w:r>
      <w:r>
        <w:rPr>
          <w:b/>
          <w:i w:val="0"/>
          <w:sz w:val="22"/>
        </w:rPr>
        <w:t>organic, referral, and partnership</w:t>
      </w:r>
      <w:r>
        <w:rPr>
          <w:i w:val="0"/>
          <w:sz w:val="22"/>
        </w:rPr>
        <w:t xml:space="preserve"> channels — which research confirms are both the most effective and the most trusted for hyperlocal (42% of operators rank word-of-mouth #1; referral programs add ~17% to growth).</w:t>
      </w:r>
    </w:p>
    <w:p>
      <w:pPr>
        <w:pStyle w:val="ListBullet"/>
        <w:spacing w:after="60"/>
      </w:pPr>
      <w:r>
        <w:rPr>
          <w:b/>
          <w:sz w:val="21"/>
        </w:rPr>
        <w:t>Referral engine.</w:t>
      </w:r>
      <w:r>
        <w:rPr>
          <w:sz w:val="21"/>
        </w:rPr>
        <w:t xml:space="preserve"> A built-in referral program (milestone rewards: stickers → merch → free membership month) turns readers into recruiters — the top growth lever for comparable operators.</w:t>
      </w:r>
    </w:p>
    <w:p>
      <w:pPr>
        <w:pStyle w:val="ListBullet"/>
        <w:spacing w:after="60"/>
      </w:pPr>
      <w:r>
        <w:rPr>
          <w:b/>
          <w:sz w:val="21"/>
        </w:rPr>
        <w:t>Local partnerships.</w:t>
      </w:r>
      <w:r>
        <w:rPr>
          <w:sz w:val="21"/>
        </w:rPr>
        <w:t xml:space="preserve"> Co-promotion with breweries, coffee shops, gyms, neighborhood associations, the startup ecosystem (CO.LAB, the Edney/Innovation District), realtors, and relocation services — especially powerful given heavy in-migration.</w:t>
      </w:r>
    </w:p>
    <w:p>
      <w:pPr>
        <w:pStyle w:val="ListBullet"/>
        <w:spacing w:after="60"/>
      </w:pPr>
      <w:r>
        <w:rPr>
          <w:b/>
          <w:sz w:val="21"/>
        </w:rPr>
        <w:t>Events as acquisition.</w:t>
      </w:r>
      <w:r>
        <w:rPr>
          <w:sz w:val="21"/>
        </w:rPr>
        <w:t xml:space="preserve"> Every event is a list-building machine; attendees join on the spot.</w:t>
      </w:r>
    </w:p>
    <w:p>
      <w:pPr>
        <w:pStyle w:val="ListBullet"/>
        <w:spacing w:after="60"/>
      </w:pPr>
      <w:r>
        <w:rPr>
          <w:b/>
          <w:sz w:val="21"/>
        </w:rPr>
        <w:t>Organic social &amp; content.</w:t>
      </w:r>
      <w:r>
        <w:rPr>
          <w:sz w:val="21"/>
        </w:rPr>
        <w:t xml:space="preserve"> Short-form local video and Instagram/Facebook (where ~60% of younger residents discover events) drive inbound signups; the Scout's POV makes it shareable.</w:t>
      </w:r>
    </w:p>
    <w:p>
      <w:pPr>
        <w:pStyle w:val="ListBullet"/>
        <w:spacing w:after="60"/>
      </w:pPr>
      <w:r>
        <w:rPr>
          <w:b/>
          <w:sz w:val="21"/>
        </w:rPr>
        <w:t>Newcomer funnel.</w:t>
      </w:r>
      <w:r>
        <w:rPr>
          <w:sz w:val="21"/>
        </w:rPr>
        <w:t xml:space="preserve"> A free "New to Chattanooga" guide as a signup magnet targets the fast-growing transplant population precisely when they're hungry for local guidance.</w:t>
      </w:r>
    </w:p>
    <w:p>
      <w:pPr>
        <w:spacing w:after="120"/>
        <w:jc w:val="left"/>
      </w:pPr>
      <w:r>
        <w:rPr>
          <w:i w:val="0"/>
          <w:sz w:val="22"/>
        </w:rPr>
        <w:t xml:space="preserve">Target trajectory (organic-led): </w:t>
      </w:r>
      <w:r>
        <w:rPr>
          <w:b/>
          <w:i w:val="0"/>
          <w:sz w:val="22"/>
        </w:rPr>
        <w:t>~7,000 free subscribers by end of Year 1</w:t>
      </w:r>
      <w:r>
        <w:rPr>
          <w:i w:val="0"/>
          <w:sz w:val="22"/>
        </w:rPr>
        <w:t>, ~16,000 by Year 2, ~28,000 by Year 3 — well within demonstrated local benchmarks (Mirror Indy grew its list +608% in year one; Catskill Crew went 0→10,000+ in under a year).</w:t>
      </w:r>
    </w:p>
    <w:p>
      <w:pPr>
        <w:jc w:val="center"/>
      </w:pPr>
      <w:r>
        <w:drawing>
          <wp:inline xmlns:a="http://schemas.openxmlformats.org/drawingml/2006/main" xmlns:pic="http://schemas.openxmlformats.org/drawingml/2006/picture">
            <wp:extent cx="5760720" cy="3397348"/>
            <wp:docPr id="6" name="Picture 6"/>
            <wp:cNvGraphicFramePr>
              <a:graphicFrameLocks noChangeAspect="1"/>
            </wp:cNvGraphicFramePr>
            <a:graphic>
              <a:graphicData uri="http://schemas.openxmlformats.org/drawingml/2006/picture">
                <pic:pic>
                  <pic:nvPicPr>
                    <pic:cNvPr id="0" name="fig_audience.png"/>
                    <pic:cNvPicPr/>
                  </pic:nvPicPr>
                  <pic:blipFill>
                    <a:blip r:embed="rId14"/>
                    <a:stretch>
                      <a:fillRect/>
                    </a:stretch>
                  </pic:blipFill>
                  <pic:spPr>
                    <a:xfrm>
                      <a:off x="0" y="0"/>
                      <a:ext cx="5760720" cy="3397348"/>
                    </a:xfrm>
                    <a:prstGeom prst="rect"/>
                  </pic:spPr>
                </pic:pic>
              </a:graphicData>
            </a:graphic>
          </wp:inline>
        </w:drawing>
      </w:r>
    </w:p>
    <w:p>
      <w:pPr>
        <w:spacing w:after="240"/>
        <w:jc w:val="center"/>
      </w:pPr>
      <w:r>
        <w:rPr>
          <w:i/>
          <w:color w:val="6B7B85"/>
          <w:sz w:val="17"/>
        </w:rPr>
        <w:t>Figure 6. Modeled audience growth. The free list is the funnel; paying members are the conservative 3–6% who convert.</w:t>
      </w:r>
    </w:p>
    <w:p>
      <w:pPr>
        <w:spacing w:before="280" w:after="80"/>
        <w:pBdr>
          <w:bottom w:val="single" w:sz="6" w:space="2" w:color="2A9D8F"/>
        </w:pBdr>
      </w:pPr>
      <w:r>
        <w:rPr>
          <w:b/>
          <w:color w:val="1B3A4B"/>
          <w:sz w:val="34"/>
        </w:rPr>
        <w:t>8. Operations &amp; Technology</w:t>
      </w:r>
    </w:p>
    <w:p>
      <w:pPr>
        <w:spacing w:after="120"/>
        <w:jc w:val="left"/>
      </w:pPr>
      <w:r>
        <w:rPr>
          <w:i w:val="0"/>
          <w:sz w:val="22"/>
        </w:rPr>
        <w:t>The operating philosophy is lean: a single founder-operator at launch, low fixed costs, and a platform that does not tax subscription revenue. Contractors (a part-time editor, an events/ops helper) are added as revenue allows, primarily in Years 2–3.</w:t>
      </w:r>
    </w:p>
    <w:p>
      <w:pPr>
        <w:spacing w:before="200" w:after="80"/>
      </w:pPr>
      <w:r>
        <w:rPr>
          <w:b/>
          <w:color w:val="2A9D8F"/>
          <w:sz w:val="27"/>
        </w:rPr>
        <w:t>8.1 Platform selection</w:t>
      </w:r>
    </w:p>
    <w:p>
      <w:pPr>
        <w:spacing w:after="120"/>
        <w:jc w:val="left"/>
      </w:pPr>
      <w:r>
        <w:rPr>
          <w:i w:val="0"/>
          <w:sz w:val="22"/>
        </w:rPr>
        <w:t xml:space="preserve">The recommended platform is </w:t>
      </w:r>
      <w:r>
        <w:rPr>
          <w:b/>
          <w:i w:val="0"/>
          <w:sz w:val="22"/>
        </w:rPr>
        <w:t>beehiiv</w:t>
      </w:r>
      <w:r>
        <w:rPr>
          <w:i w:val="0"/>
          <w:sz w:val="22"/>
        </w:rPr>
        <w:t xml:space="preserve"> (or self-hosted </w:t>
      </w:r>
      <w:r>
        <w:rPr>
          <w:b/>
          <w:i w:val="0"/>
          <w:sz w:val="22"/>
        </w:rPr>
        <w:t>Ghost</w:t>
      </w:r>
      <w:r>
        <w:rPr>
          <w:i w:val="0"/>
          <w:sz w:val="22"/>
        </w:rPr>
        <w:t xml:space="preserve">): both charge </w:t>
      </w:r>
      <w:r>
        <w:rPr>
          <w:b/>
          <w:i w:val="0"/>
          <w:sz w:val="22"/>
        </w:rPr>
        <w:t>0% on subscription revenue</w:t>
      </w:r>
      <w:r>
        <w:rPr>
          <w:i w:val="0"/>
          <w:sz w:val="22"/>
        </w:rPr>
        <w:t>, unlike Substack's 10% cut. On a $10 subscription, beehiiv/Ghost net ~$9.41 after Stripe vs. ~$8.41 on Substack — a ~12% revenue difference that compounds at scale.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872"/>
            <w:shd w:val="clear" w:color="auto" w:fill="1B3A4B"/>
          </w:tcPr>
          <w:p>
            <w:pPr>
              <w:jc w:val="left"/>
            </w:pPr>
            <w:r/>
            <w:r>
              <w:rPr>
                <w:b/>
                <w:color w:val="FFFFFF"/>
                <w:sz w:val="18"/>
              </w:rPr>
              <w:t>Platform</w:t>
            </w:r>
          </w:p>
        </w:tc>
        <w:tc>
          <w:tcPr>
            <w:tcW w:type="dxa" w:w="2880"/>
            <w:shd w:val="clear" w:color="auto" w:fill="1B3A4B"/>
          </w:tcPr>
          <w:p>
            <w:pPr>
              <w:jc w:val="center"/>
            </w:pPr>
            <w:r/>
            <w:r>
              <w:rPr>
                <w:b/>
                <w:color w:val="FFFFFF"/>
                <w:sz w:val="18"/>
              </w:rPr>
              <w:t>Indicative price</w:t>
            </w:r>
          </w:p>
        </w:tc>
        <w:tc>
          <w:tcPr>
            <w:tcW w:type="dxa" w:w="1872"/>
            <w:shd w:val="clear" w:color="auto" w:fill="1B3A4B"/>
          </w:tcPr>
          <w:p>
            <w:pPr>
              <w:jc w:val="center"/>
            </w:pPr>
            <w:r/>
            <w:r>
              <w:rPr>
                <w:b/>
                <w:color w:val="FFFFFF"/>
                <w:sz w:val="18"/>
              </w:rPr>
              <w:t>Cut of sub revenue</w:t>
            </w:r>
          </w:p>
        </w:tc>
        <w:tc>
          <w:tcPr>
            <w:tcW w:type="dxa" w:w="2736"/>
            <w:shd w:val="clear" w:color="auto" w:fill="1B3A4B"/>
          </w:tcPr>
          <w:p>
            <w:pPr>
              <w:jc w:val="center"/>
            </w:pPr>
            <w:r/>
            <w:r>
              <w:rPr>
                <w:b/>
                <w:color w:val="FFFFFF"/>
                <w:sz w:val="18"/>
              </w:rPr>
              <w:t>Notes</w:t>
            </w:r>
          </w:p>
        </w:tc>
      </w:tr>
      <w:tr>
        <w:tc>
          <w:tcPr>
            <w:tcW w:type="dxa" w:w="1872"/>
            <w:shd w:val="clear" w:color="auto" w:fill="EEF3F4"/>
          </w:tcPr>
          <w:p>
            <w:pPr>
              <w:jc w:val="left"/>
            </w:pPr>
            <w:r/>
            <w:r>
              <w:rPr>
                <w:b/>
                <w:color w:val="1B3A4B"/>
                <w:sz w:val="18"/>
              </w:rPr>
              <w:t>beehiiv</w:t>
            </w:r>
          </w:p>
        </w:tc>
        <w:tc>
          <w:tcPr>
            <w:tcW w:type="dxa" w:w="2880"/>
            <w:shd w:val="clear" w:color="auto" w:fill="EEF3F4"/>
          </w:tcPr>
          <w:p>
            <w:pPr>
              <w:jc w:val="center"/>
            </w:pPr>
            <w:r/>
            <w:r>
              <w:rPr>
                <w:b w:val="0"/>
                <w:sz w:val="18"/>
              </w:rPr>
              <w:t>Free to 2,500; Scale ~$43–49/mo</w:t>
            </w:r>
          </w:p>
        </w:tc>
        <w:tc>
          <w:tcPr>
            <w:tcW w:type="dxa" w:w="1872"/>
            <w:shd w:val="clear" w:color="auto" w:fill="EEF3F4"/>
          </w:tcPr>
          <w:p>
            <w:pPr>
              <w:jc w:val="center"/>
            </w:pPr>
            <w:r/>
            <w:r>
              <w:rPr>
                <w:b w:val="0"/>
                <w:sz w:val="18"/>
              </w:rPr>
              <w:t>0%</w:t>
            </w:r>
          </w:p>
        </w:tc>
        <w:tc>
          <w:tcPr>
            <w:tcW w:type="dxa" w:w="2736"/>
            <w:shd w:val="clear" w:color="auto" w:fill="EEF3F4"/>
          </w:tcPr>
          <w:p>
            <w:pPr>
              <w:jc w:val="center"/>
            </w:pPr>
            <w:r/>
            <w:r>
              <w:rPr>
                <w:b w:val="0"/>
                <w:sz w:val="18"/>
              </w:rPr>
              <w:t>Built-in paid subs, referral engine, web</w:t>
            </w:r>
          </w:p>
        </w:tc>
      </w:tr>
      <w:tr>
        <w:tc>
          <w:tcPr>
            <w:tcW w:type="dxa" w:w="1872"/>
            <w:shd w:val="clear" w:color="auto" w:fill="FFFFFF"/>
          </w:tcPr>
          <w:p>
            <w:pPr>
              <w:jc w:val="left"/>
            </w:pPr>
            <w:r/>
            <w:r>
              <w:rPr>
                <w:b/>
                <w:color w:val="1B3A4B"/>
                <w:sz w:val="18"/>
              </w:rPr>
              <w:t>Ghost (Pro)</w:t>
            </w:r>
          </w:p>
        </w:tc>
        <w:tc>
          <w:tcPr>
            <w:tcW w:type="dxa" w:w="2880"/>
            <w:shd w:val="clear" w:color="auto" w:fill="FFFFFF"/>
          </w:tcPr>
          <w:p>
            <w:pPr>
              <w:jc w:val="center"/>
            </w:pPr>
            <w:r/>
            <w:r>
              <w:rPr>
                <w:b w:val="0"/>
                <w:sz w:val="18"/>
              </w:rPr>
              <w:t>Publisher ~$29/mo (annual)</w:t>
            </w:r>
          </w:p>
        </w:tc>
        <w:tc>
          <w:tcPr>
            <w:tcW w:type="dxa" w:w="1872"/>
            <w:shd w:val="clear" w:color="auto" w:fill="FFFFFF"/>
          </w:tcPr>
          <w:p>
            <w:pPr>
              <w:jc w:val="center"/>
            </w:pPr>
            <w:r/>
            <w:r>
              <w:rPr>
                <w:b w:val="0"/>
                <w:sz w:val="18"/>
              </w:rPr>
              <w:t>0%</w:t>
            </w:r>
          </w:p>
        </w:tc>
        <w:tc>
          <w:tcPr>
            <w:tcW w:type="dxa" w:w="2736"/>
            <w:shd w:val="clear" w:color="auto" w:fill="FFFFFF"/>
          </w:tcPr>
          <w:p>
            <w:pPr>
              <w:jc w:val="center"/>
            </w:pPr>
            <w:r/>
            <w:r>
              <w:rPr>
                <w:b w:val="0"/>
                <w:sz w:val="18"/>
              </w:rPr>
              <w:t>Own-your-stack, memberships, 0% fee</w:t>
            </w:r>
          </w:p>
        </w:tc>
      </w:tr>
      <w:tr>
        <w:tc>
          <w:tcPr>
            <w:tcW w:type="dxa" w:w="1872"/>
            <w:shd w:val="clear" w:color="auto" w:fill="EEF3F4"/>
          </w:tcPr>
          <w:p>
            <w:pPr>
              <w:jc w:val="left"/>
            </w:pPr>
            <w:r/>
            <w:r>
              <w:rPr>
                <w:b/>
                <w:color w:val="1B3A4B"/>
                <w:sz w:val="18"/>
              </w:rPr>
              <w:t>Substack</w:t>
            </w:r>
          </w:p>
        </w:tc>
        <w:tc>
          <w:tcPr>
            <w:tcW w:type="dxa" w:w="2880"/>
            <w:shd w:val="clear" w:color="auto" w:fill="EEF3F4"/>
          </w:tcPr>
          <w:p>
            <w:pPr>
              <w:jc w:val="center"/>
            </w:pPr>
            <w:r/>
            <w:r>
              <w:rPr>
                <w:b w:val="0"/>
                <w:sz w:val="18"/>
              </w:rPr>
              <w:t>$0 platform fee</w:t>
            </w:r>
          </w:p>
        </w:tc>
        <w:tc>
          <w:tcPr>
            <w:tcW w:type="dxa" w:w="1872"/>
            <w:shd w:val="clear" w:color="auto" w:fill="EEF3F4"/>
          </w:tcPr>
          <w:p>
            <w:pPr>
              <w:jc w:val="center"/>
            </w:pPr>
            <w:r/>
            <w:r>
              <w:rPr>
                <w:b w:val="0"/>
                <w:sz w:val="18"/>
              </w:rPr>
              <w:t>10% + Stripe</w:t>
            </w:r>
          </w:p>
        </w:tc>
        <w:tc>
          <w:tcPr>
            <w:tcW w:type="dxa" w:w="2736"/>
            <w:shd w:val="clear" w:color="auto" w:fill="EEF3F4"/>
          </w:tcPr>
          <w:p>
            <w:pPr>
              <w:jc w:val="center"/>
            </w:pPr>
            <w:r/>
            <w:r>
              <w:rPr>
                <w:b w:val="0"/>
                <w:sz w:val="18"/>
              </w:rPr>
              <w:t>Easiest start; discovery network</w:t>
            </w:r>
          </w:p>
        </w:tc>
      </w:tr>
      <w:tr>
        <w:tc>
          <w:tcPr>
            <w:tcW w:type="dxa" w:w="1872"/>
            <w:shd w:val="clear" w:color="auto" w:fill="FFFFFF"/>
          </w:tcPr>
          <w:p>
            <w:pPr>
              <w:jc w:val="left"/>
            </w:pPr>
            <w:r/>
            <w:r>
              <w:rPr>
                <w:b/>
                <w:color w:val="1B3A4B"/>
                <w:sz w:val="18"/>
              </w:rPr>
              <w:t>Kit (ConvertKit)</w:t>
            </w:r>
          </w:p>
        </w:tc>
        <w:tc>
          <w:tcPr>
            <w:tcW w:type="dxa" w:w="2880"/>
            <w:shd w:val="clear" w:color="auto" w:fill="FFFFFF"/>
          </w:tcPr>
          <w:p>
            <w:pPr>
              <w:jc w:val="center"/>
            </w:pPr>
            <w:r/>
            <w:r>
              <w:rPr>
                <w:b w:val="0"/>
                <w:sz w:val="18"/>
              </w:rPr>
              <w:t>Free to 10K; Creator ~$33/mo</w:t>
            </w:r>
          </w:p>
        </w:tc>
        <w:tc>
          <w:tcPr>
            <w:tcW w:type="dxa" w:w="1872"/>
            <w:shd w:val="clear" w:color="auto" w:fill="FFFFFF"/>
          </w:tcPr>
          <w:p>
            <w:pPr>
              <w:jc w:val="center"/>
            </w:pPr>
            <w:r/>
            <w:r>
              <w:rPr>
                <w:b w:val="0"/>
                <w:sz w:val="18"/>
              </w:rPr>
              <w:t>n/a (ESP)</w:t>
            </w:r>
          </w:p>
        </w:tc>
        <w:tc>
          <w:tcPr>
            <w:tcW w:type="dxa" w:w="2736"/>
            <w:shd w:val="clear" w:color="auto" w:fill="FFFFFF"/>
          </w:tcPr>
          <w:p>
            <w:pPr>
              <w:jc w:val="center"/>
            </w:pPr>
            <w:r/>
            <w:r>
              <w:rPr>
                <w:b w:val="0"/>
                <w:sz w:val="18"/>
              </w:rPr>
              <w:t>Automation-heavy; no native paywall</w:t>
            </w:r>
          </w:p>
        </w:tc>
      </w:tr>
      <w:tr>
        <w:tc>
          <w:tcPr>
            <w:tcW w:type="dxa" w:w="1872"/>
            <w:shd w:val="clear" w:color="auto" w:fill="EEF3F4"/>
          </w:tcPr>
          <w:p>
            <w:pPr>
              <w:jc w:val="left"/>
            </w:pPr>
            <w:r/>
            <w:r>
              <w:rPr>
                <w:b/>
                <w:color w:val="1B3A4B"/>
                <w:sz w:val="18"/>
              </w:rPr>
              <w:t>Mailchimp</w:t>
            </w:r>
          </w:p>
        </w:tc>
        <w:tc>
          <w:tcPr>
            <w:tcW w:type="dxa" w:w="2880"/>
            <w:shd w:val="clear" w:color="auto" w:fill="EEF3F4"/>
          </w:tcPr>
          <w:p>
            <w:pPr>
              <w:jc w:val="center"/>
            </w:pPr>
            <w:r/>
            <w:r>
              <w:rPr>
                <w:b w:val="0"/>
                <w:sz w:val="18"/>
              </w:rPr>
              <w:t>From ~$13/mo</w:t>
            </w:r>
          </w:p>
        </w:tc>
        <w:tc>
          <w:tcPr>
            <w:tcW w:type="dxa" w:w="1872"/>
            <w:shd w:val="clear" w:color="auto" w:fill="EEF3F4"/>
          </w:tcPr>
          <w:p>
            <w:pPr>
              <w:jc w:val="center"/>
            </w:pPr>
            <w:r/>
            <w:r>
              <w:rPr>
                <w:b w:val="0"/>
                <w:sz w:val="18"/>
              </w:rPr>
              <w:t>n/a</w:t>
            </w:r>
          </w:p>
        </w:tc>
        <w:tc>
          <w:tcPr>
            <w:tcW w:type="dxa" w:w="2736"/>
            <w:shd w:val="clear" w:color="auto" w:fill="EEF3F4"/>
          </w:tcPr>
          <w:p>
            <w:pPr>
              <w:jc w:val="center"/>
            </w:pPr>
            <w:r/>
            <w:r>
              <w:rPr>
                <w:b w:val="0"/>
                <w:sz w:val="18"/>
              </w:rPr>
              <w:t>General ESP; weak for paid membership</w:t>
            </w:r>
          </w:p>
        </w:tc>
      </w:tr>
    </w:tbl>
    <w:p>
      <w:pPr>
        <w:spacing w:after="40"/>
      </w:pPr>
    </w:p>
    <w:p>
      <w:pPr>
        <w:spacing w:after="200"/>
        <w:jc w:val="left"/>
      </w:pPr>
      <w:r>
        <w:rPr>
          <w:i/>
          <w:color w:val="6B7B85"/>
          <w:sz w:val="17"/>
        </w:rPr>
        <w:t>Table 8. Platform comparison. beehiiv and Ghost avoid taxing subscription revenue. Prices are 2026 indicative; verify on vendor pages.</w:t>
      </w:r>
    </w:p>
    <w:p>
      <w:pPr>
        <w:spacing w:before="200" w:after="80"/>
      </w:pPr>
      <w:r>
        <w:rPr>
          <w:b/>
          <w:color w:val="2A9D8F"/>
          <w:sz w:val="27"/>
        </w:rPr>
        <w:t>8.2 Cost structure &amp; startup costs</w:t>
      </w:r>
    </w:p>
    <w:tbl>
      <w:tblPr>
        <w:tblStyle w:val="TableGrid"/>
        <w:tblW w:type="auto" w:w="0"/>
        <w:jc w:val="center"/>
        <w:tblLayout w:type="autofit"/>
        <w:tblLook w:firstColumn="1" w:firstRow="1" w:lastColumn="0" w:lastRow="0" w:noHBand="0" w:noVBand="1" w:val="04A0"/>
      </w:tblPr>
      <w:tblGrid>
        <w:gridCol w:w="4824"/>
        <w:gridCol w:w="4824"/>
      </w:tblGrid>
      <w:tr>
        <w:tc>
          <w:tcPr>
            <w:tcW w:type="dxa" w:w="5472"/>
            <w:shd w:val="clear" w:color="auto" w:fill="1B3A4B"/>
          </w:tcPr>
          <w:p>
            <w:pPr>
              <w:jc w:val="left"/>
            </w:pPr>
            <w:r/>
            <w:r>
              <w:rPr>
                <w:b/>
                <w:color w:val="FFFFFF"/>
                <w:sz w:val="19"/>
              </w:rPr>
              <w:t>Pre-launch item</w:t>
            </w:r>
          </w:p>
        </w:tc>
        <w:tc>
          <w:tcPr>
            <w:tcW w:type="dxa" w:w="2304"/>
            <w:shd w:val="clear" w:color="auto" w:fill="1B3A4B"/>
          </w:tcPr>
          <w:p>
            <w:pPr>
              <w:jc w:val="center"/>
            </w:pPr>
            <w:r/>
            <w:r>
              <w:rPr>
                <w:b/>
                <w:color w:val="FFFFFF"/>
                <w:sz w:val="19"/>
              </w:rPr>
              <w:t>Cost</w:t>
            </w:r>
          </w:p>
        </w:tc>
      </w:tr>
      <w:tr>
        <w:tc>
          <w:tcPr>
            <w:tcW w:type="dxa" w:w="5472"/>
            <w:shd w:val="clear" w:color="auto" w:fill="EEF3F4"/>
          </w:tcPr>
          <w:p>
            <w:pPr>
              <w:jc w:val="left"/>
            </w:pPr>
            <w:r/>
            <w:r>
              <w:rPr>
                <w:b/>
                <w:color w:val="1B3A4B"/>
                <w:sz w:val="19"/>
              </w:rPr>
              <w:t>LLC formation + basic legal</w:t>
            </w:r>
          </w:p>
        </w:tc>
        <w:tc>
          <w:tcPr>
            <w:tcW w:type="dxa" w:w="2304"/>
            <w:shd w:val="clear" w:color="auto" w:fill="EEF3F4"/>
          </w:tcPr>
          <w:p>
            <w:pPr>
              <w:jc w:val="center"/>
            </w:pPr>
            <w:r/>
            <w:r>
              <w:rPr>
                <w:b w:val="0"/>
                <w:sz w:val="19"/>
              </w:rPr>
              <w:t>$800</w:t>
            </w:r>
          </w:p>
        </w:tc>
      </w:tr>
      <w:tr>
        <w:tc>
          <w:tcPr>
            <w:tcW w:type="dxa" w:w="5472"/>
            <w:shd w:val="clear" w:color="auto" w:fill="FFFFFF"/>
          </w:tcPr>
          <w:p>
            <w:pPr>
              <w:jc w:val="left"/>
            </w:pPr>
            <w:r/>
            <w:r>
              <w:rPr>
                <w:b/>
                <w:color w:val="1B3A4B"/>
                <w:sz w:val="19"/>
              </w:rPr>
              <w:t>Brand identity, logo &amp; website setup</w:t>
            </w:r>
          </w:p>
        </w:tc>
        <w:tc>
          <w:tcPr>
            <w:tcW w:type="dxa" w:w="2304"/>
            <w:shd w:val="clear" w:color="auto" w:fill="FFFFFF"/>
          </w:tcPr>
          <w:p>
            <w:pPr>
              <w:jc w:val="center"/>
            </w:pPr>
            <w:r/>
            <w:r>
              <w:rPr>
                <w:b w:val="0"/>
                <w:sz w:val="19"/>
              </w:rPr>
              <w:t>$1,500</w:t>
            </w:r>
          </w:p>
        </w:tc>
      </w:tr>
      <w:tr>
        <w:tc>
          <w:tcPr>
            <w:tcW w:type="dxa" w:w="5472"/>
            <w:shd w:val="clear" w:color="auto" w:fill="EEF3F4"/>
          </w:tcPr>
          <w:p>
            <w:pPr>
              <w:jc w:val="left"/>
            </w:pPr>
            <w:r/>
            <w:r>
              <w:rPr>
                <w:b/>
                <w:color w:val="1B3A4B"/>
                <w:sz w:val="19"/>
              </w:rPr>
              <w:t>Platform &amp; tools (3-month runway)</w:t>
            </w:r>
          </w:p>
        </w:tc>
        <w:tc>
          <w:tcPr>
            <w:tcW w:type="dxa" w:w="2304"/>
            <w:shd w:val="clear" w:color="auto" w:fill="EEF3F4"/>
          </w:tcPr>
          <w:p>
            <w:pPr>
              <w:jc w:val="center"/>
            </w:pPr>
            <w:r/>
            <w:r>
              <w:rPr>
                <w:b w:val="0"/>
                <w:sz w:val="19"/>
              </w:rPr>
              <w:t>$200</w:t>
            </w:r>
          </w:p>
        </w:tc>
      </w:tr>
      <w:tr>
        <w:tc>
          <w:tcPr>
            <w:tcW w:type="dxa" w:w="5472"/>
            <w:shd w:val="clear" w:color="auto" w:fill="FFFFFF"/>
          </w:tcPr>
          <w:p>
            <w:pPr>
              <w:jc w:val="left"/>
            </w:pPr>
            <w:r/>
            <w:r>
              <w:rPr>
                <w:b/>
                <w:color w:val="1B3A4B"/>
                <w:sz w:val="19"/>
              </w:rPr>
              <w:t>Initial merch / design + launch event</w:t>
            </w:r>
          </w:p>
        </w:tc>
        <w:tc>
          <w:tcPr>
            <w:tcW w:type="dxa" w:w="2304"/>
            <w:shd w:val="clear" w:color="auto" w:fill="FFFFFF"/>
          </w:tcPr>
          <w:p>
            <w:pPr>
              <w:jc w:val="center"/>
            </w:pPr>
            <w:r/>
            <w:r>
              <w:rPr>
                <w:b w:val="0"/>
                <w:sz w:val="19"/>
              </w:rPr>
              <w:t>$1,500</w:t>
            </w:r>
          </w:p>
        </w:tc>
      </w:tr>
      <w:tr>
        <w:tc>
          <w:tcPr>
            <w:tcW w:type="dxa" w:w="5472"/>
            <w:shd w:val="clear" w:color="auto" w:fill="EEF3F4"/>
          </w:tcPr>
          <w:p>
            <w:pPr>
              <w:jc w:val="left"/>
            </w:pPr>
            <w:r/>
            <w:r>
              <w:rPr>
                <w:b/>
                <w:color w:val="1B3A4B"/>
                <w:sz w:val="19"/>
              </w:rPr>
              <w:t>Contingency</w:t>
            </w:r>
          </w:p>
        </w:tc>
        <w:tc>
          <w:tcPr>
            <w:tcW w:type="dxa" w:w="2304"/>
            <w:shd w:val="clear" w:color="auto" w:fill="EEF3F4"/>
          </w:tcPr>
          <w:p>
            <w:pPr>
              <w:jc w:val="center"/>
            </w:pPr>
            <w:r/>
            <w:r>
              <w:rPr>
                <w:b w:val="0"/>
                <w:sz w:val="19"/>
              </w:rPr>
              <w:t>$1,000</w:t>
            </w:r>
          </w:p>
        </w:tc>
      </w:tr>
      <w:tr>
        <w:tc>
          <w:tcPr>
            <w:tcW w:type="dxa" w:w="5472"/>
            <w:shd w:val="clear" w:color="auto" w:fill="FFFFFF"/>
          </w:tcPr>
          <w:p>
            <w:pPr>
              <w:jc w:val="left"/>
            </w:pPr>
            <w:r/>
            <w:r>
              <w:rPr>
                <w:b/>
                <w:color w:val="1B3A4B"/>
                <w:sz w:val="19"/>
              </w:rPr>
              <w:t>Total startup capital</w:t>
            </w:r>
          </w:p>
        </w:tc>
        <w:tc>
          <w:tcPr>
            <w:tcW w:type="dxa" w:w="2304"/>
            <w:shd w:val="clear" w:color="auto" w:fill="FFFFFF"/>
          </w:tcPr>
          <w:p>
            <w:pPr>
              <w:jc w:val="center"/>
            </w:pPr>
            <w:r/>
            <w:r>
              <w:rPr>
                <w:b w:val="0"/>
                <w:sz w:val="19"/>
              </w:rPr>
              <w:t>~$5,000</w:t>
            </w:r>
          </w:p>
        </w:tc>
      </w:tr>
    </w:tbl>
    <w:p>
      <w:pPr>
        <w:spacing w:after="40"/>
      </w:pPr>
    </w:p>
    <w:p>
      <w:pPr>
        <w:spacing w:after="200"/>
        <w:jc w:val="left"/>
      </w:pPr>
      <w:r>
        <w:rPr>
          <w:i/>
          <w:color w:val="6B7B85"/>
          <w:sz w:val="17"/>
        </w:rPr>
        <w:t>Table 9. Startup capital requirement (lean, solo). Consistent with the $1,500–$5,000 range for solo local newsletters.</w:t>
      </w:r>
    </w:p>
    <w:p>
      <w:pPr>
        <w:spacing w:after="120"/>
        <w:jc w:val="left"/>
      </w:pPr>
      <w:r>
        <w:rPr>
          <w:i w:val="0"/>
          <w:sz w:val="22"/>
        </w:rPr>
        <w:t xml:space="preserve">Ongoing tooling is remarkably cheap — roughly </w:t>
      </w:r>
      <w:r>
        <w:rPr>
          <w:b/>
          <w:i w:val="0"/>
          <w:sz w:val="22"/>
        </w:rPr>
        <w:t>$60–$130/month</w:t>
      </w:r>
      <w:r>
        <w:rPr>
          <w:i w:val="0"/>
          <w:sz w:val="22"/>
        </w:rPr>
        <w:t xml:space="preserve"> early (ESP + Canva + domain) — so operating break-even on tools alone is just </w:t>
      </w:r>
      <w:r>
        <w:rPr>
          <w:b/>
          <w:i w:val="0"/>
          <w:sz w:val="22"/>
        </w:rPr>
        <w:t>~6 members or one small event</w:t>
      </w:r>
      <w:r>
        <w:rPr>
          <w:i w:val="0"/>
          <w:sz w:val="22"/>
        </w:rPr>
        <w:t>. The dominant "cost" of this business is the founder's time, which is why the financial plan treats owner's compensation as the key milestone rather than tooling break-even.</w:t>
      </w:r>
    </w:p>
    <w:p>
      <w:pPr>
        <w:spacing w:before="280" w:after="80"/>
        <w:pBdr>
          <w:bottom w:val="single" w:sz="6" w:space="2" w:color="2A9D8F"/>
        </w:pBdr>
      </w:pPr>
      <w:r>
        <w:rPr>
          <w:b/>
          <w:color w:val="1B3A4B"/>
          <w:sz w:val="34"/>
        </w:rPr>
        <w:t>9. Financial Plan</w:t>
      </w:r>
    </w:p>
    <w:p>
      <w:pPr>
        <w:spacing w:before="200" w:after="80"/>
      </w:pPr>
      <w:r>
        <w:rPr>
          <w:b/>
          <w:color w:val="2A9D8F"/>
          <w:sz w:val="27"/>
        </w:rPr>
        <w:t>9.1 Key assumptions</w:t>
      </w:r>
    </w:p>
    <w:p>
      <w:pPr>
        <w:pStyle w:val="ListBullet"/>
        <w:spacing w:after="60"/>
      </w:pPr>
      <w:r>
        <w:rPr>
          <w:b/>
          <w:sz w:val="21"/>
        </w:rPr>
        <w:t>No advertising or sponsorship revenue</w:t>
      </w:r>
      <w:r>
        <w:rPr>
          <w:sz w:val="21"/>
        </w:rPr>
        <w:t xml:space="preserve"> in any year (the core thesis).</w:t>
      </w:r>
    </w:p>
    <w:p>
      <w:pPr>
        <w:pStyle w:val="ListBullet"/>
        <w:spacing w:after="60"/>
      </w:pPr>
      <w:r>
        <w:rPr>
          <w:sz w:val="21"/>
        </w:rPr>
        <w:t>Free list: 7,000 / 16,000 / 28,000 (end of Years 1–3), organic-led.</w:t>
      </w:r>
    </w:p>
    <w:p>
      <w:pPr>
        <w:pStyle w:val="ListBullet"/>
        <w:spacing w:after="60"/>
      </w:pPr>
      <w:r>
        <w:rPr>
          <w:sz w:val="21"/>
        </w:rPr>
        <w:t>Paying members: 350 / 850 / 1,700 (EoY) — a conservative 3–6% of the free list.</w:t>
      </w:r>
    </w:p>
    <w:p>
      <w:pPr>
        <w:pStyle w:val="ListBullet"/>
        <w:spacing w:after="60"/>
      </w:pPr>
      <w:r>
        <w:rPr>
          <w:sz w:val="21"/>
        </w:rPr>
        <w:t>Blended membership ARPU ~$90/yr net of payment fees; ~3–4% monthly churn.</w:t>
      </w:r>
    </w:p>
    <w:p>
      <w:pPr>
        <w:pStyle w:val="ListBullet"/>
        <w:spacing w:after="60"/>
      </w:pPr>
      <w:r>
        <w:rPr>
          <w:sz w:val="21"/>
        </w:rPr>
        <w:t>Events scale 3 → 7 → 12 per year, adding a signature festival in Year 3.</w:t>
      </w:r>
    </w:p>
    <w:p>
      <w:pPr>
        <w:pStyle w:val="ListBullet"/>
        <w:spacing w:after="60"/>
      </w:pPr>
      <w:r>
        <w:rPr>
          <w:sz w:val="21"/>
        </w:rPr>
        <w:t>Products scale with brand: merch, guides, Scout Card, specialty items.</w:t>
      </w:r>
    </w:p>
    <w:p>
      <w:pPr>
        <w:pStyle w:val="ListBullet"/>
        <w:spacing w:after="60"/>
      </w:pPr>
      <w:r>
        <w:rPr>
          <w:sz w:val="21"/>
        </w:rPr>
        <w:t xml:space="preserve">All event and product figures shown </w:t>
      </w:r>
      <w:r>
        <w:rPr>
          <w:b/>
          <w:sz w:val="21"/>
        </w:rPr>
        <w:t>net</w:t>
      </w:r>
      <w:r>
        <w:rPr>
          <w:sz w:val="21"/>
        </w:rPr>
        <w:t xml:space="preserve"> of direct costs (COGS, venue/JV share).</w:t>
      </w:r>
    </w:p>
    <w:p>
      <w:pPr>
        <w:spacing w:before="200" w:after="80"/>
      </w:pPr>
      <w:r>
        <w:rPr>
          <w:b/>
          <w:color w:val="2A9D8F"/>
          <w:sz w:val="27"/>
        </w:rPr>
        <w:t>9.2 Three-year revenue build</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3456"/>
            <w:shd w:val="clear" w:color="auto" w:fill="1B3A4B"/>
          </w:tcPr>
          <w:p>
            <w:pPr>
              <w:jc w:val="left"/>
            </w:pPr>
            <w:r/>
            <w:r>
              <w:rPr>
                <w:b/>
                <w:color w:val="FFFFFF"/>
                <w:sz w:val="20"/>
              </w:rPr>
              <w:t>Revenue stream</w:t>
            </w:r>
          </w:p>
        </w:tc>
        <w:tc>
          <w:tcPr>
            <w:tcW w:type="dxa" w:w="1872"/>
            <w:shd w:val="clear" w:color="auto" w:fill="1B3A4B"/>
          </w:tcPr>
          <w:p>
            <w:pPr>
              <w:jc w:val="center"/>
            </w:pPr>
            <w:r/>
            <w:r>
              <w:rPr>
                <w:b/>
                <w:color w:val="FFFFFF"/>
                <w:sz w:val="20"/>
              </w:rPr>
              <w:t>Year 1</w:t>
            </w:r>
          </w:p>
        </w:tc>
        <w:tc>
          <w:tcPr>
            <w:tcW w:type="dxa" w:w="1872"/>
            <w:shd w:val="clear" w:color="auto" w:fill="1B3A4B"/>
          </w:tcPr>
          <w:p>
            <w:pPr>
              <w:jc w:val="center"/>
            </w:pPr>
            <w:r/>
            <w:r>
              <w:rPr>
                <w:b/>
                <w:color w:val="FFFFFF"/>
                <w:sz w:val="20"/>
              </w:rPr>
              <w:t>Year 2</w:t>
            </w:r>
          </w:p>
        </w:tc>
        <w:tc>
          <w:tcPr>
            <w:tcW w:type="dxa" w:w="1872"/>
            <w:shd w:val="clear" w:color="auto" w:fill="1B3A4B"/>
          </w:tcPr>
          <w:p>
            <w:pPr>
              <w:jc w:val="center"/>
            </w:pPr>
            <w:r/>
            <w:r>
              <w:rPr>
                <w:b/>
                <w:color w:val="FFFFFF"/>
                <w:sz w:val="20"/>
              </w:rPr>
              <w:t>Year 3</w:t>
            </w:r>
          </w:p>
        </w:tc>
      </w:tr>
      <w:tr>
        <w:tc>
          <w:tcPr>
            <w:tcW w:type="dxa" w:w="3456"/>
            <w:shd w:val="clear" w:color="auto" w:fill="EEF3F4"/>
          </w:tcPr>
          <w:p>
            <w:pPr>
              <w:jc w:val="left"/>
            </w:pPr>
            <w:r/>
            <w:r>
              <w:rPr>
                <w:b/>
                <w:color w:val="1B3A4B"/>
                <w:sz w:val="20"/>
              </w:rPr>
              <w:t>Membership</w:t>
            </w:r>
          </w:p>
        </w:tc>
        <w:tc>
          <w:tcPr>
            <w:tcW w:type="dxa" w:w="1872"/>
            <w:shd w:val="clear" w:color="auto" w:fill="EEF3F4"/>
          </w:tcPr>
          <w:p>
            <w:pPr>
              <w:jc w:val="center"/>
            </w:pPr>
            <w:r/>
            <w:r>
              <w:rPr>
                <w:b w:val="0"/>
                <w:sz w:val="20"/>
              </w:rPr>
              <w:t>$16K</w:t>
            </w:r>
          </w:p>
        </w:tc>
        <w:tc>
          <w:tcPr>
            <w:tcW w:type="dxa" w:w="1872"/>
            <w:shd w:val="clear" w:color="auto" w:fill="EEF3F4"/>
          </w:tcPr>
          <w:p>
            <w:pPr>
              <w:jc w:val="center"/>
            </w:pPr>
            <w:r/>
            <w:r>
              <w:rPr>
                <w:b w:val="0"/>
                <w:sz w:val="20"/>
              </w:rPr>
              <w:t>$54K</w:t>
            </w:r>
          </w:p>
        </w:tc>
        <w:tc>
          <w:tcPr>
            <w:tcW w:type="dxa" w:w="1872"/>
            <w:shd w:val="clear" w:color="auto" w:fill="EEF3F4"/>
          </w:tcPr>
          <w:p>
            <w:pPr>
              <w:jc w:val="center"/>
            </w:pPr>
            <w:r/>
            <w:r>
              <w:rPr>
                <w:b w:val="0"/>
                <w:sz w:val="20"/>
              </w:rPr>
              <w:t>$120K</w:t>
            </w:r>
          </w:p>
        </w:tc>
      </w:tr>
      <w:tr>
        <w:tc>
          <w:tcPr>
            <w:tcW w:type="dxa" w:w="3456"/>
            <w:shd w:val="clear" w:color="auto" w:fill="FFFFFF"/>
          </w:tcPr>
          <w:p>
            <w:pPr>
              <w:jc w:val="left"/>
            </w:pPr>
            <w:r/>
            <w:r>
              <w:rPr>
                <w:b/>
                <w:color w:val="1B3A4B"/>
                <w:sz w:val="20"/>
              </w:rPr>
              <w:t>Events</w:t>
            </w:r>
          </w:p>
        </w:tc>
        <w:tc>
          <w:tcPr>
            <w:tcW w:type="dxa" w:w="1872"/>
            <w:shd w:val="clear" w:color="auto" w:fill="FFFFFF"/>
          </w:tcPr>
          <w:p>
            <w:pPr>
              <w:jc w:val="center"/>
            </w:pPr>
            <w:r/>
            <w:r>
              <w:rPr>
                <w:b w:val="0"/>
                <w:sz w:val="20"/>
              </w:rPr>
              <w:t>$9K</w:t>
            </w:r>
          </w:p>
        </w:tc>
        <w:tc>
          <w:tcPr>
            <w:tcW w:type="dxa" w:w="1872"/>
            <w:shd w:val="clear" w:color="auto" w:fill="FFFFFF"/>
          </w:tcPr>
          <w:p>
            <w:pPr>
              <w:jc w:val="center"/>
            </w:pPr>
            <w:r/>
            <w:r>
              <w:rPr>
                <w:b w:val="0"/>
                <w:sz w:val="20"/>
              </w:rPr>
              <w:t>$40K</w:t>
            </w:r>
          </w:p>
        </w:tc>
        <w:tc>
          <w:tcPr>
            <w:tcW w:type="dxa" w:w="1872"/>
            <w:shd w:val="clear" w:color="auto" w:fill="FFFFFF"/>
          </w:tcPr>
          <w:p>
            <w:pPr>
              <w:jc w:val="center"/>
            </w:pPr>
            <w:r/>
            <w:r>
              <w:rPr>
                <w:b w:val="0"/>
                <w:sz w:val="20"/>
              </w:rPr>
              <w:t>$105K</w:t>
            </w:r>
          </w:p>
        </w:tc>
      </w:tr>
      <w:tr>
        <w:tc>
          <w:tcPr>
            <w:tcW w:type="dxa" w:w="3456"/>
            <w:shd w:val="clear" w:color="auto" w:fill="EEF3F4"/>
          </w:tcPr>
          <w:p>
            <w:pPr>
              <w:jc w:val="left"/>
            </w:pPr>
            <w:r/>
            <w:r>
              <w:rPr>
                <w:b/>
                <w:color w:val="1B3A4B"/>
                <w:sz w:val="20"/>
              </w:rPr>
              <w:t>Products &amp; commerce</w:t>
            </w:r>
          </w:p>
        </w:tc>
        <w:tc>
          <w:tcPr>
            <w:tcW w:type="dxa" w:w="1872"/>
            <w:shd w:val="clear" w:color="auto" w:fill="EEF3F4"/>
          </w:tcPr>
          <w:p>
            <w:pPr>
              <w:jc w:val="center"/>
            </w:pPr>
            <w:r/>
            <w:r>
              <w:rPr>
                <w:b w:val="0"/>
                <w:sz w:val="20"/>
              </w:rPr>
              <w:t>$6K</w:t>
            </w:r>
          </w:p>
        </w:tc>
        <w:tc>
          <w:tcPr>
            <w:tcW w:type="dxa" w:w="1872"/>
            <w:shd w:val="clear" w:color="auto" w:fill="EEF3F4"/>
          </w:tcPr>
          <w:p>
            <w:pPr>
              <w:jc w:val="center"/>
            </w:pPr>
            <w:r/>
            <w:r>
              <w:rPr>
                <w:b w:val="0"/>
                <w:sz w:val="20"/>
              </w:rPr>
              <w:t>$22K</w:t>
            </w:r>
          </w:p>
        </w:tc>
        <w:tc>
          <w:tcPr>
            <w:tcW w:type="dxa" w:w="1872"/>
            <w:shd w:val="clear" w:color="auto" w:fill="EEF3F4"/>
          </w:tcPr>
          <w:p>
            <w:pPr>
              <w:jc w:val="center"/>
            </w:pPr>
            <w:r/>
            <w:r>
              <w:rPr>
                <w:b w:val="0"/>
                <w:sz w:val="20"/>
              </w:rPr>
              <w:t>$55K</w:t>
            </w:r>
          </w:p>
        </w:tc>
      </w:tr>
      <w:tr>
        <w:tc>
          <w:tcPr>
            <w:tcW w:type="dxa" w:w="3456"/>
            <w:shd w:val="clear" w:color="auto" w:fill="FFFFFF"/>
          </w:tcPr>
          <w:p>
            <w:pPr>
              <w:jc w:val="left"/>
            </w:pPr>
            <w:r/>
            <w:r>
              <w:rPr>
                <w:b/>
                <w:color w:val="1B3A4B"/>
                <w:sz w:val="20"/>
              </w:rPr>
              <w:t>Total revenue</w:t>
            </w:r>
          </w:p>
        </w:tc>
        <w:tc>
          <w:tcPr>
            <w:tcW w:type="dxa" w:w="1872"/>
            <w:shd w:val="clear" w:color="auto" w:fill="FFFFFF"/>
          </w:tcPr>
          <w:p>
            <w:pPr>
              <w:jc w:val="center"/>
            </w:pPr>
            <w:r/>
            <w:r>
              <w:rPr>
                <w:b w:val="0"/>
                <w:sz w:val="20"/>
              </w:rPr>
              <w:t>$31K</w:t>
            </w:r>
          </w:p>
        </w:tc>
        <w:tc>
          <w:tcPr>
            <w:tcW w:type="dxa" w:w="1872"/>
            <w:shd w:val="clear" w:color="auto" w:fill="FFFFFF"/>
          </w:tcPr>
          <w:p>
            <w:pPr>
              <w:jc w:val="center"/>
            </w:pPr>
            <w:r/>
            <w:r>
              <w:rPr>
                <w:b w:val="0"/>
                <w:sz w:val="20"/>
              </w:rPr>
              <w:t>$116K</w:t>
            </w:r>
          </w:p>
        </w:tc>
        <w:tc>
          <w:tcPr>
            <w:tcW w:type="dxa" w:w="1872"/>
            <w:shd w:val="clear" w:color="auto" w:fill="FFFFFF"/>
          </w:tcPr>
          <w:p>
            <w:pPr>
              <w:jc w:val="center"/>
            </w:pPr>
            <w:r/>
            <w:r>
              <w:rPr>
                <w:b w:val="0"/>
                <w:sz w:val="20"/>
              </w:rPr>
              <w:t>$280K</w:t>
            </w:r>
          </w:p>
        </w:tc>
      </w:tr>
    </w:tbl>
    <w:p>
      <w:pPr>
        <w:spacing w:after="40"/>
      </w:pPr>
    </w:p>
    <w:p>
      <w:pPr>
        <w:spacing w:after="200"/>
        <w:jc w:val="left"/>
      </w:pPr>
      <w:r>
        <w:rPr>
          <w:i/>
          <w:color w:val="6B7B85"/>
          <w:sz w:val="17"/>
        </w:rPr>
        <w:t>Table 10. Revenue build by stream.</w:t>
      </w:r>
    </w:p>
    <w:p>
      <w:pPr>
        <w:jc w:val="center"/>
      </w:pPr>
      <w:r>
        <w:drawing>
          <wp:inline xmlns:a="http://schemas.openxmlformats.org/drawingml/2006/main" xmlns:pic="http://schemas.openxmlformats.org/drawingml/2006/picture">
            <wp:extent cx="5760720" cy="7217204"/>
            <wp:docPr id="7" name="Picture 7"/>
            <wp:cNvGraphicFramePr>
              <a:graphicFrameLocks noChangeAspect="1"/>
            </wp:cNvGraphicFramePr>
            <a:graphic>
              <a:graphicData uri="http://schemas.openxmlformats.org/drawingml/2006/picture">
                <pic:pic>
                  <pic:nvPicPr>
                    <pic:cNvPr id="0" name="fig_mix.png"/>
                    <pic:cNvPicPr/>
                  </pic:nvPicPr>
                  <pic:blipFill>
                    <a:blip r:embed="rId15"/>
                    <a:stretch>
                      <a:fillRect/>
                    </a:stretch>
                  </pic:blipFill>
                  <pic:spPr>
                    <a:xfrm>
                      <a:off x="0" y="0"/>
                      <a:ext cx="5760720" cy="7217204"/>
                    </a:xfrm>
                    <a:prstGeom prst="rect"/>
                  </pic:spPr>
                </pic:pic>
              </a:graphicData>
            </a:graphic>
          </wp:inline>
        </w:drawing>
      </w:r>
    </w:p>
    <w:p>
      <w:pPr>
        <w:spacing w:after="240"/>
        <w:jc w:val="center"/>
      </w:pPr>
      <w:r>
        <w:rPr>
          <w:i/>
          <w:color w:val="6B7B85"/>
          <w:sz w:val="17"/>
        </w:rPr>
        <w:t>Figure 7. Year-3 revenue mix — diversified across all three reader-funded pillars.</w:t>
      </w:r>
    </w:p>
    <w:p>
      <w:pPr>
        <w:spacing w:before="200" w:after="80"/>
      </w:pPr>
      <w:r>
        <w:rPr>
          <w:b/>
          <w:color w:val="2A9D8F"/>
          <w:sz w:val="27"/>
        </w:rPr>
        <w:t>9.3 Profit &amp; loss summary</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3744"/>
            <w:shd w:val="clear" w:color="auto" w:fill="1B3A4B"/>
          </w:tcPr>
          <w:p>
            <w:pPr>
              <w:jc w:val="left"/>
            </w:pPr>
            <w:r/>
            <w:r>
              <w:rPr>
                <w:b/>
                <w:color w:val="FFFFFF"/>
                <w:sz w:val="19"/>
              </w:rPr>
              <w:t>Line item</w:t>
            </w:r>
          </w:p>
        </w:tc>
        <w:tc>
          <w:tcPr>
            <w:tcW w:type="dxa" w:w="1728"/>
            <w:shd w:val="clear" w:color="auto" w:fill="1B3A4B"/>
          </w:tcPr>
          <w:p>
            <w:pPr>
              <w:jc w:val="center"/>
            </w:pPr>
            <w:r/>
            <w:r>
              <w:rPr>
                <w:b/>
                <w:color w:val="FFFFFF"/>
                <w:sz w:val="19"/>
              </w:rPr>
              <w:t>Year 1</w:t>
            </w:r>
          </w:p>
        </w:tc>
        <w:tc>
          <w:tcPr>
            <w:tcW w:type="dxa" w:w="1728"/>
            <w:shd w:val="clear" w:color="auto" w:fill="1B3A4B"/>
          </w:tcPr>
          <w:p>
            <w:pPr>
              <w:jc w:val="center"/>
            </w:pPr>
            <w:r/>
            <w:r>
              <w:rPr>
                <w:b/>
                <w:color w:val="FFFFFF"/>
                <w:sz w:val="19"/>
              </w:rPr>
              <w:t>Year 2</w:t>
            </w:r>
          </w:p>
        </w:tc>
        <w:tc>
          <w:tcPr>
            <w:tcW w:type="dxa" w:w="1728"/>
            <w:shd w:val="clear" w:color="auto" w:fill="1B3A4B"/>
          </w:tcPr>
          <w:p>
            <w:pPr>
              <w:jc w:val="center"/>
            </w:pPr>
            <w:r/>
            <w:r>
              <w:rPr>
                <w:b/>
                <w:color w:val="FFFFFF"/>
                <w:sz w:val="19"/>
              </w:rPr>
              <w:t>Year 3</w:t>
            </w:r>
          </w:p>
        </w:tc>
      </w:tr>
      <w:tr>
        <w:tc>
          <w:tcPr>
            <w:tcW w:type="dxa" w:w="3744"/>
            <w:shd w:val="clear" w:color="auto" w:fill="EEF3F4"/>
          </w:tcPr>
          <w:p>
            <w:pPr>
              <w:jc w:val="left"/>
            </w:pPr>
            <w:r/>
            <w:r>
              <w:rPr>
                <w:b/>
                <w:color w:val="1B3A4B"/>
                <w:sz w:val="19"/>
              </w:rPr>
              <w:t>Total revenue</w:t>
            </w:r>
          </w:p>
        </w:tc>
        <w:tc>
          <w:tcPr>
            <w:tcW w:type="dxa" w:w="1728"/>
            <w:shd w:val="clear" w:color="auto" w:fill="EEF3F4"/>
          </w:tcPr>
          <w:p>
            <w:pPr>
              <w:jc w:val="center"/>
            </w:pPr>
            <w:r/>
            <w:r>
              <w:rPr>
                <w:b w:val="0"/>
                <w:sz w:val="19"/>
              </w:rPr>
              <w:t>$31K</w:t>
            </w:r>
          </w:p>
        </w:tc>
        <w:tc>
          <w:tcPr>
            <w:tcW w:type="dxa" w:w="1728"/>
            <w:shd w:val="clear" w:color="auto" w:fill="EEF3F4"/>
          </w:tcPr>
          <w:p>
            <w:pPr>
              <w:jc w:val="center"/>
            </w:pPr>
            <w:r/>
            <w:r>
              <w:rPr>
                <w:b w:val="0"/>
                <w:sz w:val="19"/>
              </w:rPr>
              <w:t>$116K</w:t>
            </w:r>
          </w:p>
        </w:tc>
        <w:tc>
          <w:tcPr>
            <w:tcW w:type="dxa" w:w="1728"/>
            <w:shd w:val="clear" w:color="auto" w:fill="EEF3F4"/>
          </w:tcPr>
          <w:p>
            <w:pPr>
              <w:jc w:val="center"/>
            </w:pPr>
            <w:r/>
            <w:r>
              <w:rPr>
                <w:b w:val="0"/>
                <w:sz w:val="19"/>
              </w:rPr>
              <w:t>$280K</w:t>
            </w:r>
          </w:p>
        </w:tc>
      </w:tr>
      <w:tr>
        <w:tc>
          <w:tcPr>
            <w:tcW w:type="dxa" w:w="3744"/>
            <w:shd w:val="clear" w:color="auto" w:fill="FFFFFF"/>
          </w:tcPr>
          <w:p>
            <w:pPr>
              <w:jc w:val="left"/>
            </w:pPr>
            <w:r/>
            <w:r>
              <w:rPr>
                <w:b/>
                <w:color w:val="1B3A4B"/>
                <w:sz w:val="19"/>
              </w:rPr>
              <w:t>Operating expenses</w:t>
            </w:r>
          </w:p>
        </w:tc>
        <w:tc>
          <w:tcPr>
            <w:tcW w:type="dxa" w:w="1728"/>
            <w:shd w:val="clear" w:color="auto" w:fill="FFFFFF"/>
          </w:tcPr>
          <w:p>
            <w:pPr>
              <w:jc w:val="center"/>
            </w:pPr>
            <w:r/>
            <w:r>
              <w:rPr>
                <w:b w:val="0"/>
                <w:sz w:val="19"/>
              </w:rPr>
              <w:t>$10K</w:t>
            </w:r>
          </w:p>
        </w:tc>
        <w:tc>
          <w:tcPr>
            <w:tcW w:type="dxa" w:w="1728"/>
            <w:shd w:val="clear" w:color="auto" w:fill="FFFFFF"/>
          </w:tcPr>
          <w:p>
            <w:pPr>
              <w:jc w:val="center"/>
            </w:pPr>
            <w:r/>
            <w:r>
              <w:rPr>
                <w:b w:val="0"/>
                <w:sz w:val="19"/>
              </w:rPr>
              <w:t>$34K</w:t>
            </w:r>
          </w:p>
        </w:tc>
        <w:tc>
          <w:tcPr>
            <w:tcW w:type="dxa" w:w="1728"/>
            <w:shd w:val="clear" w:color="auto" w:fill="FFFFFF"/>
          </w:tcPr>
          <w:p>
            <w:pPr>
              <w:jc w:val="center"/>
            </w:pPr>
            <w:r/>
            <w:r>
              <w:rPr>
                <w:b w:val="0"/>
                <w:sz w:val="19"/>
              </w:rPr>
              <w:t>$84K</w:t>
            </w:r>
          </w:p>
        </w:tc>
      </w:tr>
      <w:tr>
        <w:tc>
          <w:tcPr>
            <w:tcW w:type="dxa" w:w="3744"/>
            <w:shd w:val="clear" w:color="auto" w:fill="EEF3F4"/>
          </w:tcPr>
          <w:p>
            <w:pPr>
              <w:jc w:val="left"/>
            </w:pPr>
            <w:r/>
            <w:r>
              <w:rPr>
                <w:b/>
                <w:color w:val="1B3A4B"/>
                <w:sz w:val="19"/>
              </w:rPr>
              <w:t xml:space="preserve">  Tools / platform</w:t>
            </w:r>
          </w:p>
        </w:tc>
        <w:tc>
          <w:tcPr>
            <w:tcW w:type="dxa" w:w="1728"/>
            <w:shd w:val="clear" w:color="auto" w:fill="EEF3F4"/>
          </w:tcPr>
          <w:p>
            <w:pPr>
              <w:jc w:val="center"/>
            </w:pPr>
            <w:r/>
            <w:r>
              <w:rPr>
                <w:b w:val="0"/>
                <w:sz w:val="19"/>
              </w:rPr>
              <w:t>$1,800</w:t>
            </w:r>
          </w:p>
        </w:tc>
        <w:tc>
          <w:tcPr>
            <w:tcW w:type="dxa" w:w="1728"/>
            <w:shd w:val="clear" w:color="auto" w:fill="EEF3F4"/>
          </w:tcPr>
          <w:p>
            <w:pPr>
              <w:jc w:val="center"/>
            </w:pPr>
            <w:r/>
            <w:r>
              <w:rPr>
                <w:b w:val="0"/>
                <w:sz w:val="19"/>
              </w:rPr>
              <w:t>$2,600</w:t>
            </w:r>
          </w:p>
        </w:tc>
        <w:tc>
          <w:tcPr>
            <w:tcW w:type="dxa" w:w="1728"/>
            <w:shd w:val="clear" w:color="auto" w:fill="EEF3F4"/>
          </w:tcPr>
          <w:p>
            <w:pPr>
              <w:jc w:val="center"/>
            </w:pPr>
            <w:r/>
            <w:r>
              <w:rPr>
                <w:b w:val="0"/>
                <w:sz w:val="19"/>
              </w:rPr>
              <w:t>$3,500</w:t>
            </w:r>
          </w:p>
        </w:tc>
      </w:tr>
      <w:tr>
        <w:tc>
          <w:tcPr>
            <w:tcW w:type="dxa" w:w="3744"/>
            <w:shd w:val="clear" w:color="auto" w:fill="FFFFFF"/>
          </w:tcPr>
          <w:p>
            <w:pPr>
              <w:jc w:val="left"/>
            </w:pPr>
            <w:r/>
            <w:r>
              <w:rPr>
                <w:b/>
                <w:color w:val="1B3A4B"/>
                <w:sz w:val="19"/>
              </w:rPr>
              <w:t xml:space="preserve">  Marketing / growth</w:t>
            </w:r>
          </w:p>
        </w:tc>
        <w:tc>
          <w:tcPr>
            <w:tcW w:type="dxa" w:w="1728"/>
            <w:shd w:val="clear" w:color="auto" w:fill="FFFFFF"/>
          </w:tcPr>
          <w:p>
            <w:pPr>
              <w:jc w:val="center"/>
            </w:pPr>
            <w:r/>
            <w:r>
              <w:rPr>
                <w:b w:val="0"/>
                <w:sz w:val="19"/>
              </w:rPr>
              <w:t>$3,000</w:t>
            </w:r>
          </w:p>
        </w:tc>
        <w:tc>
          <w:tcPr>
            <w:tcW w:type="dxa" w:w="1728"/>
            <w:shd w:val="clear" w:color="auto" w:fill="FFFFFF"/>
          </w:tcPr>
          <w:p>
            <w:pPr>
              <w:jc w:val="center"/>
            </w:pPr>
            <w:r/>
            <w:r>
              <w:rPr>
                <w:b w:val="0"/>
                <w:sz w:val="19"/>
              </w:rPr>
              <w:t>$7,000</w:t>
            </w:r>
          </w:p>
        </w:tc>
        <w:tc>
          <w:tcPr>
            <w:tcW w:type="dxa" w:w="1728"/>
            <w:shd w:val="clear" w:color="auto" w:fill="FFFFFF"/>
          </w:tcPr>
          <w:p>
            <w:pPr>
              <w:jc w:val="center"/>
            </w:pPr>
            <w:r/>
            <w:r>
              <w:rPr>
                <w:b w:val="0"/>
                <w:sz w:val="19"/>
              </w:rPr>
              <w:t>$14,000</w:t>
            </w:r>
          </w:p>
        </w:tc>
      </w:tr>
      <w:tr>
        <w:tc>
          <w:tcPr>
            <w:tcW w:type="dxa" w:w="3744"/>
            <w:shd w:val="clear" w:color="auto" w:fill="EEF3F4"/>
          </w:tcPr>
          <w:p>
            <w:pPr>
              <w:jc w:val="left"/>
            </w:pPr>
            <w:r/>
            <w:r>
              <w:rPr>
                <w:b/>
                <w:color w:val="1B3A4B"/>
                <w:sz w:val="19"/>
              </w:rPr>
              <w:t xml:space="preserve">  Legal / admin / accounting</w:t>
            </w:r>
          </w:p>
        </w:tc>
        <w:tc>
          <w:tcPr>
            <w:tcW w:type="dxa" w:w="1728"/>
            <w:shd w:val="clear" w:color="auto" w:fill="EEF3F4"/>
          </w:tcPr>
          <w:p>
            <w:pPr>
              <w:jc w:val="center"/>
            </w:pPr>
            <w:r/>
            <w:r>
              <w:rPr>
                <w:b w:val="0"/>
                <w:sz w:val="19"/>
              </w:rPr>
              <w:t>$2,200</w:t>
            </w:r>
          </w:p>
        </w:tc>
        <w:tc>
          <w:tcPr>
            <w:tcW w:type="dxa" w:w="1728"/>
            <w:shd w:val="clear" w:color="auto" w:fill="EEF3F4"/>
          </w:tcPr>
          <w:p>
            <w:pPr>
              <w:jc w:val="center"/>
            </w:pPr>
            <w:r/>
            <w:r>
              <w:rPr>
                <w:b w:val="0"/>
                <w:sz w:val="19"/>
              </w:rPr>
              <w:t>$3,500</w:t>
            </w:r>
          </w:p>
        </w:tc>
        <w:tc>
          <w:tcPr>
            <w:tcW w:type="dxa" w:w="1728"/>
            <w:shd w:val="clear" w:color="auto" w:fill="EEF3F4"/>
          </w:tcPr>
          <w:p>
            <w:pPr>
              <w:jc w:val="center"/>
            </w:pPr>
            <w:r/>
            <w:r>
              <w:rPr>
                <w:b w:val="0"/>
                <w:sz w:val="19"/>
              </w:rPr>
              <w:t>$5,000</w:t>
            </w:r>
          </w:p>
        </w:tc>
      </w:tr>
      <w:tr>
        <w:tc>
          <w:tcPr>
            <w:tcW w:type="dxa" w:w="3744"/>
            <w:shd w:val="clear" w:color="auto" w:fill="FFFFFF"/>
          </w:tcPr>
          <w:p>
            <w:pPr>
              <w:jc w:val="left"/>
            </w:pPr>
            <w:r/>
            <w:r>
              <w:rPr>
                <w:b/>
                <w:color w:val="1B3A4B"/>
                <w:sz w:val="19"/>
              </w:rPr>
              <w:t xml:space="preserve">  Contract content / team</w:t>
            </w:r>
          </w:p>
        </w:tc>
        <w:tc>
          <w:tcPr>
            <w:tcW w:type="dxa" w:w="1728"/>
            <w:shd w:val="clear" w:color="auto" w:fill="FFFFFF"/>
          </w:tcPr>
          <w:p>
            <w:pPr>
              <w:jc w:val="center"/>
            </w:pPr>
            <w:r/>
            <w:r>
              <w:rPr>
                <w:b w:val="0"/>
                <w:sz w:val="19"/>
              </w:rPr>
              <w:t>$2,000</w:t>
            </w:r>
          </w:p>
        </w:tc>
        <w:tc>
          <w:tcPr>
            <w:tcW w:type="dxa" w:w="1728"/>
            <w:shd w:val="clear" w:color="auto" w:fill="FFFFFF"/>
          </w:tcPr>
          <w:p>
            <w:pPr>
              <w:jc w:val="center"/>
            </w:pPr>
            <w:r/>
            <w:r>
              <w:rPr>
                <w:b w:val="0"/>
                <w:sz w:val="19"/>
              </w:rPr>
              <w:t>$18,000</w:t>
            </w:r>
          </w:p>
        </w:tc>
        <w:tc>
          <w:tcPr>
            <w:tcW w:type="dxa" w:w="1728"/>
            <w:shd w:val="clear" w:color="auto" w:fill="FFFFFF"/>
          </w:tcPr>
          <w:p>
            <w:pPr>
              <w:jc w:val="center"/>
            </w:pPr>
            <w:r/>
            <w:r>
              <w:rPr>
                <w:b w:val="0"/>
                <w:sz w:val="19"/>
              </w:rPr>
              <w:t>$55,000</w:t>
            </w:r>
          </w:p>
        </w:tc>
      </w:tr>
      <w:tr>
        <w:tc>
          <w:tcPr>
            <w:tcW w:type="dxa" w:w="3744"/>
            <w:shd w:val="clear" w:color="auto" w:fill="EEF3F4"/>
          </w:tcPr>
          <w:p>
            <w:pPr>
              <w:jc w:val="left"/>
            </w:pPr>
            <w:r/>
            <w:r>
              <w:rPr>
                <w:b/>
                <w:color w:val="1B3A4B"/>
                <w:sz w:val="19"/>
              </w:rPr>
              <w:t xml:space="preserve">  Misc / contingency</w:t>
            </w:r>
          </w:p>
        </w:tc>
        <w:tc>
          <w:tcPr>
            <w:tcW w:type="dxa" w:w="1728"/>
            <w:shd w:val="clear" w:color="auto" w:fill="EEF3F4"/>
          </w:tcPr>
          <w:p>
            <w:pPr>
              <w:jc w:val="center"/>
            </w:pPr>
            <w:r/>
            <w:r>
              <w:rPr>
                <w:b w:val="0"/>
                <w:sz w:val="19"/>
              </w:rPr>
              <w:t>$1,500</w:t>
            </w:r>
          </w:p>
        </w:tc>
        <w:tc>
          <w:tcPr>
            <w:tcW w:type="dxa" w:w="1728"/>
            <w:shd w:val="clear" w:color="auto" w:fill="EEF3F4"/>
          </w:tcPr>
          <w:p>
            <w:pPr>
              <w:jc w:val="center"/>
            </w:pPr>
            <w:r/>
            <w:r>
              <w:rPr>
                <w:b w:val="0"/>
                <w:sz w:val="19"/>
              </w:rPr>
              <w:t>$3,000</w:t>
            </w:r>
          </w:p>
        </w:tc>
        <w:tc>
          <w:tcPr>
            <w:tcW w:type="dxa" w:w="1728"/>
            <w:shd w:val="clear" w:color="auto" w:fill="EEF3F4"/>
          </w:tcPr>
          <w:p>
            <w:pPr>
              <w:jc w:val="center"/>
            </w:pPr>
            <w:r/>
            <w:r>
              <w:rPr>
                <w:b w:val="0"/>
                <w:sz w:val="19"/>
              </w:rPr>
              <w:t>$6,000</w:t>
            </w:r>
          </w:p>
        </w:tc>
      </w:tr>
      <w:tr>
        <w:tc>
          <w:tcPr>
            <w:tcW w:type="dxa" w:w="3744"/>
            <w:shd w:val="clear" w:color="auto" w:fill="FFFFFF"/>
          </w:tcPr>
          <w:p>
            <w:pPr>
              <w:jc w:val="left"/>
            </w:pPr>
            <w:r/>
            <w:r>
              <w:rPr>
                <w:b/>
                <w:color w:val="1B3A4B"/>
                <w:sz w:val="19"/>
              </w:rPr>
              <w:t>Owner's draw / net profit</w:t>
            </w:r>
          </w:p>
        </w:tc>
        <w:tc>
          <w:tcPr>
            <w:tcW w:type="dxa" w:w="1728"/>
            <w:shd w:val="clear" w:color="auto" w:fill="FFFFFF"/>
          </w:tcPr>
          <w:p>
            <w:pPr>
              <w:jc w:val="center"/>
            </w:pPr>
            <w:r/>
            <w:r>
              <w:rPr>
                <w:b w:val="0"/>
                <w:sz w:val="19"/>
              </w:rPr>
              <w:t>$20K</w:t>
            </w:r>
          </w:p>
        </w:tc>
        <w:tc>
          <w:tcPr>
            <w:tcW w:type="dxa" w:w="1728"/>
            <w:shd w:val="clear" w:color="auto" w:fill="FFFFFF"/>
          </w:tcPr>
          <w:p>
            <w:pPr>
              <w:jc w:val="center"/>
            </w:pPr>
            <w:r/>
            <w:r>
              <w:rPr>
                <w:b w:val="0"/>
                <w:sz w:val="19"/>
              </w:rPr>
              <w:t>$82K</w:t>
            </w:r>
          </w:p>
        </w:tc>
        <w:tc>
          <w:tcPr>
            <w:tcW w:type="dxa" w:w="1728"/>
            <w:shd w:val="clear" w:color="auto" w:fill="FFFFFF"/>
          </w:tcPr>
          <w:p>
            <w:pPr>
              <w:jc w:val="center"/>
            </w:pPr>
            <w:r/>
            <w:r>
              <w:rPr>
                <w:b w:val="0"/>
                <w:sz w:val="19"/>
              </w:rPr>
              <w:t>$196K</w:t>
            </w:r>
          </w:p>
        </w:tc>
      </w:tr>
    </w:tbl>
    <w:p>
      <w:pPr>
        <w:spacing w:after="40"/>
      </w:pPr>
    </w:p>
    <w:p>
      <w:pPr>
        <w:spacing w:after="200"/>
        <w:jc w:val="left"/>
      </w:pPr>
      <w:r>
        <w:rPr>
          <w:i/>
          <w:color w:val="6B7B85"/>
          <w:sz w:val="17"/>
        </w:rPr>
        <w:t>Table 11. Simplified P&amp;L. Sub-lines of operating expenses are indented.</w:t>
      </w:r>
    </w:p>
    <w:p>
      <w:pPr>
        <w:spacing w:after="120"/>
        <w:jc w:val="left"/>
      </w:pPr>
      <w:r>
        <w:rPr>
          <w:b/>
          <w:i w:val="0"/>
          <w:sz w:val="22"/>
        </w:rPr>
        <w:t>Interpretation.</w:t>
      </w:r>
      <w:r>
        <w:rPr>
          <w:i w:val="0"/>
          <w:sz w:val="22"/>
        </w:rPr>
        <w:t xml:space="preserve"> Year 1 is validation: a ~$20K owner's draw alongside a likely day job. Year 2 approaches a full-time income (~$82K) as membership compounds and events scale. Year 3 supports a full founder salary plus a part-time contractor team (already inside operating expenses) with profit to reinvest — roughly the ~18-month-to-profit arc 6AM City reports for new markets, achieved here without advertising.</w:t>
      </w:r>
    </w:p>
    <w:p>
      <w:pPr>
        <w:jc w:val="center"/>
      </w:pPr>
      <w:r>
        <w:drawing>
          <wp:inline xmlns:a="http://schemas.openxmlformats.org/drawingml/2006/main" xmlns:pic="http://schemas.openxmlformats.org/drawingml/2006/picture">
            <wp:extent cx="5760720" cy="3397348"/>
            <wp:docPr id="8" name="Picture 8"/>
            <wp:cNvGraphicFramePr>
              <a:graphicFrameLocks noChangeAspect="1"/>
            </wp:cNvGraphicFramePr>
            <a:graphic>
              <a:graphicData uri="http://schemas.openxmlformats.org/drawingml/2006/picture">
                <pic:pic>
                  <pic:nvPicPr>
                    <pic:cNvPr id="0" name="fig_pnl.png"/>
                    <pic:cNvPicPr/>
                  </pic:nvPicPr>
                  <pic:blipFill>
                    <a:blip r:embed="rId16"/>
                    <a:stretch>
                      <a:fillRect/>
                    </a:stretch>
                  </pic:blipFill>
                  <pic:spPr>
                    <a:xfrm>
                      <a:off x="0" y="0"/>
                      <a:ext cx="5760720" cy="3397348"/>
                    </a:xfrm>
                    <a:prstGeom prst="rect"/>
                  </pic:spPr>
                </pic:pic>
              </a:graphicData>
            </a:graphic>
          </wp:inline>
        </w:drawing>
      </w:r>
    </w:p>
    <w:p>
      <w:pPr>
        <w:spacing w:after="240"/>
        <w:jc w:val="center"/>
      </w:pPr>
      <w:r>
        <w:rPr>
          <w:i/>
          <w:color w:val="6B7B85"/>
          <w:sz w:val="17"/>
        </w:rPr>
        <w:t>Figure 8. Revenue, operating expenses, and owner's draw. The founder crosses a full-time income line during Year 2.</w:t>
      </w:r>
    </w:p>
    <w:p>
      <w:pPr>
        <w:spacing w:before="200" w:after="80"/>
      </w:pPr>
      <w:r>
        <w:rPr>
          <w:b/>
          <w:color w:val="2A9D8F"/>
          <w:sz w:val="27"/>
        </w:rPr>
        <w:t>9.4 Scenario analysis</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728"/>
            <w:shd w:val="clear" w:color="auto" w:fill="1B3A4B"/>
          </w:tcPr>
          <w:p>
            <w:pPr>
              <w:jc w:val="left"/>
            </w:pPr>
            <w:r/>
            <w:r>
              <w:rPr>
                <w:b/>
                <w:color w:val="FFFFFF"/>
                <w:sz w:val="18"/>
              </w:rPr>
              <w:t>Scenario</w:t>
            </w:r>
          </w:p>
        </w:tc>
        <w:tc>
          <w:tcPr>
            <w:tcW w:type="dxa" w:w="1728"/>
            <w:shd w:val="clear" w:color="auto" w:fill="1B3A4B"/>
          </w:tcPr>
          <w:p>
            <w:pPr>
              <w:jc w:val="center"/>
            </w:pPr>
            <w:r/>
            <w:r>
              <w:rPr>
                <w:b/>
                <w:color w:val="FFFFFF"/>
                <w:sz w:val="18"/>
              </w:rPr>
              <w:t>Y3 free list</w:t>
            </w:r>
          </w:p>
        </w:tc>
        <w:tc>
          <w:tcPr>
            <w:tcW w:type="dxa" w:w="1584"/>
            <w:shd w:val="clear" w:color="auto" w:fill="1B3A4B"/>
          </w:tcPr>
          <w:p>
            <w:pPr>
              <w:jc w:val="center"/>
            </w:pPr>
            <w:r/>
            <w:r>
              <w:rPr>
                <w:b/>
                <w:color w:val="FFFFFF"/>
                <w:sz w:val="18"/>
              </w:rPr>
              <w:t>Y3 members</w:t>
            </w:r>
          </w:p>
        </w:tc>
        <w:tc>
          <w:tcPr>
            <w:tcW w:type="dxa" w:w="1584"/>
            <w:shd w:val="clear" w:color="auto" w:fill="1B3A4B"/>
          </w:tcPr>
          <w:p>
            <w:pPr>
              <w:jc w:val="center"/>
            </w:pPr>
            <w:r/>
            <w:r>
              <w:rPr>
                <w:b/>
                <w:color w:val="FFFFFF"/>
                <w:sz w:val="18"/>
              </w:rPr>
              <w:t>Y3 revenue</w:t>
            </w:r>
          </w:p>
        </w:tc>
        <w:tc>
          <w:tcPr>
            <w:tcW w:type="dxa" w:w="2592"/>
            <w:shd w:val="clear" w:color="auto" w:fill="1B3A4B"/>
          </w:tcPr>
          <w:p>
            <w:pPr>
              <w:jc w:val="center"/>
            </w:pPr>
            <w:r/>
            <w:r>
              <w:rPr>
                <w:b/>
                <w:color w:val="FFFFFF"/>
                <w:sz w:val="18"/>
              </w:rPr>
              <w:t>Drivers</w:t>
            </w:r>
          </w:p>
        </w:tc>
      </w:tr>
      <w:tr>
        <w:tc>
          <w:tcPr>
            <w:tcW w:type="dxa" w:w="1728"/>
            <w:shd w:val="clear" w:color="auto" w:fill="EEF3F4"/>
          </w:tcPr>
          <w:p>
            <w:pPr>
              <w:jc w:val="left"/>
            </w:pPr>
            <w:r/>
            <w:r>
              <w:rPr>
                <w:b/>
                <w:color w:val="1B3A4B"/>
                <w:sz w:val="18"/>
              </w:rPr>
              <w:t>Conservative</w:t>
            </w:r>
          </w:p>
        </w:tc>
        <w:tc>
          <w:tcPr>
            <w:tcW w:type="dxa" w:w="1728"/>
            <w:shd w:val="clear" w:color="auto" w:fill="EEF3F4"/>
          </w:tcPr>
          <w:p>
            <w:pPr>
              <w:jc w:val="center"/>
            </w:pPr>
            <w:r/>
            <w:r>
              <w:rPr>
                <w:b w:val="0"/>
                <w:sz w:val="18"/>
              </w:rPr>
              <w:t>20,000</w:t>
            </w:r>
          </w:p>
        </w:tc>
        <w:tc>
          <w:tcPr>
            <w:tcW w:type="dxa" w:w="1584"/>
            <w:shd w:val="clear" w:color="auto" w:fill="EEF3F4"/>
          </w:tcPr>
          <w:p>
            <w:pPr>
              <w:jc w:val="center"/>
            </w:pPr>
            <w:r/>
            <w:r>
              <w:rPr>
                <w:b w:val="0"/>
                <w:sz w:val="18"/>
              </w:rPr>
              <w:t>1,100</w:t>
            </w:r>
          </w:p>
        </w:tc>
        <w:tc>
          <w:tcPr>
            <w:tcW w:type="dxa" w:w="1584"/>
            <w:shd w:val="clear" w:color="auto" w:fill="EEF3F4"/>
          </w:tcPr>
          <w:p>
            <w:pPr>
              <w:jc w:val="center"/>
            </w:pPr>
            <w:r/>
            <w:r>
              <w:rPr>
                <w:b w:val="0"/>
                <w:sz w:val="18"/>
              </w:rPr>
              <w:t>$180K</w:t>
            </w:r>
          </w:p>
        </w:tc>
        <w:tc>
          <w:tcPr>
            <w:tcW w:type="dxa" w:w="2592"/>
            <w:shd w:val="clear" w:color="auto" w:fill="EEF3F4"/>
          </w:tcPr>
          <w:p>
            <w:pPr>
              <w:jc w:val="center"/>
            </w:pPr>
            <w:r/>
            <w:r>
              <w:rPr>
                <w:b w:val="0"/>
                <w:sz w:val="18"/>
              </w:rPr>
              <w:t>Slower list growth; events ramp delayed</w:t>
            </w:r>
          </w:p>
        </w:tc>
      </w:tr>
      <w:tr>
        <w:tc>
          <w:tcPr>
            <w:tcW w:type="dxa" w:w="1728"/>
            <w:shd w:val="clear" w:color="auto" w:fill="FFFFFF"/>
          </w:tcPr>
          <w:p>
            <w:pPr>
              <w:jc w:val="left"/>
            </w:pPr>
            <w:r/>
            <w:r>
              <w:rPr>
                <w:b/>
                <w:color w:val="1B3A4B"/>
                <w:sz w:val="18"/>
              </w:rPr>
              <w:t>Base</w:t>
            </w:r>
          </w:p>
        </w:tc>
        <w:tc>
          <w:tcPr>
            <w:tcW w:type="dxa" w:w="1728"/>
            <w:shd w:val="clear" w:color="auto" w:fill="FFFFFF"/>
          </w:tcPr>
          <w:p>
            <w:pPr>
              <w:jc w:val="center"/>
            </w:pPr>
            <w:r/>
            <w:r>
              <w:rPr>
                <w:b w:val="0"/>
                <w:sz w:val="18"/>
              </w:rPr>
              <w:t>28,000</w:t>
            </w:r>
          </w:p>
        </w:tc>
        <w:tc>
          <w:tcPr>
            <w:tcW w:type="dxa" w:w="1584"/>
            <w:shd w:val="clear" w:color="auto" w:fill="FFFFFF"/>
          </w:tcPr>
          <w:p>
            <w:pPr>
              <w:jc w:val="center"/>
            </w:pPr>
            <w:r/>
            <w:r>
              <w:rPr>
                <w:b w:val="0"/>
                <w:sz w:val="18"/>
              </w:rPr>
              <w:t>1,700</w:t>
            </w:r>
          </w:p>
        </w:tc>
        <w:tc>
          <w:tcPr>
            <w:tcW w:type="dxa" w:w="1584"/>
            <w:shd w:val="clear" w:color="auto" w:fill="FFFFFF"/>
          </w:tcPr>
          <w:p>
            <w:pPr>
              <w:jc w:val="center"/>
            </w:pPr>
            <w:r/>
            <w:r>
              <w:rPr>
                <w:b w:val="0"/>
                <w:sz w:val="18"/>
              </w:rPr>
              <w:t>$280K</w:t>
            </w:r>
          </w:p>
        </w:tc>
        <w:tc>
          <w:tcPr>
            <w:tcW w:type="dxa" w:w="2592"/>
            <w:shd w:val="clear" w:color="auto" w:fill="FFFFFF"/>
          </w:tcPr>
          <w:p>
            <w:pPr>
              <w:jc w:val="center"/>
            </w:pPr>
            <w:r/>
            <w:r>
              <w:rPr>
                <w:b w:val="0"/>
                <w:sz w:val="18"/>
              </w:rPr>
              <w:t>Plan assumptions as modeled</w:t>
            </w:r>
          </w:p>
        </w:tc>
      </w:tr>
      <w:tr>
        <w:tc>
          <w:tcPr>
            <w:tcW w:type="dxa" w:w="1728"/>
            <w:shd w:val="clear" w:color="auto" w:fill="EEF3F4"/>
          </w:tcPr>
          <w:p>
            <w:pPr>
              <w:jc w:val="left"/>
            </w:pPr>
            <w:r/>
            <w:r>
              <w:rPr>
                <w:b/>
                <w:color w:val="1B3A4B"/>
                <w:sz w:val="18"/>
              </w:rPr>
              <w:t>Optimistic</w:t>
            </w:r>
          </w:p>
        </w:tc>
        <w:tc>
          <w:tcPr>
            <w:tcW w:type="dxa" w:w="1728"/>
            <w:shd w:val="clear" w:color="auto" w:fill="EEF3F4"/>
          </w:tcPr>
          <w:p>
            <w:pPr>
              <w:jc w:val="center"/>
            </w:pPr>
            <w:r/>
            <w:r>
              <w:rPr>
                <w:b w:val="0"/>
                <w:sz w:val="18"/>
              </w:rPr>
              <w:t>38,000</w:t>
            </w:r>
          </w:p>
        </w:tc>
        <w:tc>
          <w:tcPr>
            <w:tcW w:type="dxa" w:w="1584"/>
            <w:shd w:val="clear" w:color="auto" w:fill="EEF3F4"/>
          </w:tcPr>
          <w:p>
            <w:pPr>
              <w:jc w:val="center"/>
            </w:pPr>
            <w:r/>
            <w:r>
              <w:rPr>
                <w:b w:val="0"/>
                <w:sz w:val="18"/>
              </w:rPr>
              <w:t>2,600</w:t>
            </w:r>
          </w:p>
        </w:tc>
        <w:tc>
          <w:tcPr>
            <w:tcW w:type="dxa" w:w="1584"/>
            <w:shd w:val="clear" w:color="auto" w:fill="EEF3F4"/>
          </w:tcPr>
          <w:p>
            <w:pPr>
              <w:jc w:val="center"/>
            </w:pPr>
            <w:r/>
            <w:r>
              <w:rPr>
                <w:b w:val="0"/>
                <w:sz w:val="18"/>
              </w:rPr>
              <w:t>$420K</w:t>
            </w:r>
          </w:p>
        </w:tc>
        <w:tc>
          <w:tcPr>
            <w:tcW w:type="dxa" w:w="2592"/>
            <w:shd w:val="clear" w:color="auto" w:fill="EEF3F4"/>
          </w:tcPr>
          <w:p>
            <w:pPr>
              <w:jc w:val="center"/>
            </w:pPr>
            <w:r/>
            <w:r>
              <w:rPr>
                <w:b w:val="0"/>
                <w:sz w:val="18"/>
              </w:rPr>
              <w:t>Strong referral flywheel; festival overperforms</w:t>
            </w:r>
          </w:p>
        </w:tc>
      </w:tr>
    </w:tbl>
    <w:p>
      <w:pPr>
        <w:spacing w:after="40"/>
      </w:pPr>
    </w:p>
    <w:p>
      <w:pPr>
        <w:spacing w:after="200"/>
        <w:jc w:val="left"/>
      </w:pPr>
      <w:r>
        <w:rPr>
          <w:i/>
          <w:color w:val="6B7B85"/>
          <w:sz w:val="17"/>
        </w:rPr>
        <w:t>Table 12. Three-year (Year-3) scenarios. Even the conservative case clears a full-time income.</w:t>
      </w:r>
    </w:p>
    <w:p>
      <w:pPr>
        <w:spacing w:before="280" w:after="80"/>
        <w:pBdr>
          <w:bottom w:val="single" w:sz="6" w:space="2" w:color="2A9D8F"/>
        </w:pBdr>
      </w:pPr>
      <w:r>
        <w:rPr>
          <w:b/>
          <w:color w:val="1B3A4B"/>
          <w:sz w:val="34"/>
        </w:rPr>
        <w:t>10. Risks &amp; Mitigations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736"/>
            <w:shd w:val="clear" w:color="auto" w:fill="1B3A4B"/>
          </w:tcPr>
          <w:p>
            <w:pPr>
              <w:jc w:val="left"/>
            </w:pPr>
            <w:r/>
            <w:r>
              <w:rPr>
                <w:b/>
                <w:color w:val="FFFFFF"/>
                <w:sz w:val="18"/>
              </w:rPr>
              <w:t>Risk</w:t>
            </w:r>
          </w:p>
        </w:tc>
        <w:tc>
          <w:tcPr>
            <w:tcW w:type="dxa" w:w="1296"/>
            <w:shd w:val="clear" w:color="auto" w:fill="1B3A4B"/>
          </w:tcPr>
          <w:p>
            <w:pPr>
              <w:jc w:val="center"/>
            </w:pPr>
            <w:r/>
            <w:r>
              <w:rPr>
                <w:b/>
                <w:color w:val="FFFFFF"/>
                <w:sz w:val="18"/>
              </w:rPr>
              <w:t>Severity</w:t>
            </w:r>
          </w:p>
        </w:tc>
        <w:tc>
          <w:tcPr>
            <w:tcW w:type="dxa" w:w="5040"/>
            <w:shd w:val="clear" w:color="auto" w:fill="1B3A4B"/>
          </w:tcPr>
          <w:p>
            <w:pPr>
              <w:jc w:val="center"/>
            </w:pPr>
            <w:r/>
            <w:r>
              <w:rPr>
                <w:b/>
                <w:color w:val="FFFFFF"/>
                <w:sz w:val="18"/>
              </w:rPr>
              <w:t>Mitigation</w:t>
            </w:r>
          </w:p>
        </w:tc>
      </w:tr>
      <w:tr>
        <w:tc>
          <w:tcPr>
            <w:tcW w:type="dxa" w:w="2736"/>
            <w:shd w:val="clear" w:color="auto" w:fill="EEF3F4"/>
          </w:tcPr>
          <w:p>
            <w:pPr>
              <w:jc w:val="left"/>
            </w:pPr>
            <w:r/>
            <w:r>
              <w:rPr>
                <w:b/>
                <w:color w:val="1B3A4B"/>
                <w:sz w:val="18"/>
              </w:rPr>
              <w:t>Slow monetization / long ramp</w:t>
            </w:r>
          </w:p>
        </w:tc>
        <w:tc>
          <w:tcPr>
            <w:tcW w:type="dxa" w:w="1296"/>
            <w:shd w:val="clear" w:color="auto" w:fill="EEF3F4"/>
          </w:tcPr>
          <w:p>
            <w:pPr>
              <w:jc w:val="center"/>
            </w:pPr>
            <w:r/>
            <w:r>
              <w:rPr>
                <w:b w:val="0"/>
                <w:sz w:val="18"/>
              </w:rPr>
              <w:t>High</w:t>
            </w:r>
          </w:p>
        </w:tc>
        <w:tc>
          <w:tcPr>
            <w:tcW w:type="dxa" w:w="5040"/>
            <w:shd w:val="clear" w:color="auto" w:fill="EEF3F4"/>
          </w:tcPr>
          <w:p>
            <w:pPr>
              <w:jc w:val="center"/>
            </w:pPr>
            <w:r/>
            <w:r>
              <w:rPr>
                <w:b w:val="0"/>
                <w:sz w:val="18"/>
              </w:rPr>
              <w:t>Local media takes ~18+ months to profit; capitalize for a long runway, keep costs near-zero, validate willingness-to-pay early with a founding-member presale.</w:t>
            </w:r>
          </w:p>
        </w:tc>
      </w:tr>
      <w:tr>
        <w:tc>
          <w:tcPr>
            <w:tcW w:type="dxa" w:w="2736"/>
            <w:shd w:val="clear" w:color="auto" w:fill="FFFFFF"/>
          </w:tcPr>
          <w:p>
            <w:pPr>
              <w:jc w:val="left"/>
            </w:pPr>
            <w:r/>
            <w:r>
              <w:rPr>
                <w:b/>
                <w:color w:val="1B3A4B"/>
                <w:sz w:val="18"/>
              </w:rPr>
              <w:t>Founder burnout</w:t>
            </w:r>
          </w:p>
        </w:tc>
        <w:tc>
          <w:tcPr>
            <w:tcW w:type="dxa" w:w="1296"/>
            <w:shd w:val="clear" w:color="auto" w:fill="FFFFFF"/>
          </w:tcPr>
          <w:p>
            <w:pPr>
              <w:jc w:val="center"/>
            </w:pPr>
            <w:r/>
            <w:r>
              <w:rPr>
                <w:b w:val="0"/>
                <w:sz w:val="18"/>
              </w:rPr>
              <w:t>High</w:t>
            </w:r>
          </w:p>
        </w:tc>
        <w:tc>
          <w:tcPr>
            <w:tcW w:type="dxa" w:w="5040"/>
            <w:shd w:val="clear" w:color="auto" w:fill="FFFFFF"/>
          </w:tcPr>
          <w:p>
            <w:pPr>
              <w:jc w:val="center"/>
            </w:pPr>
            <w:r/>
            <w:r>
              <w:rPr>
                <w:b w:val="0"/>
                <w:sz w:val="18"/>
              </w:rPr>
              <w:t>Weekly (not daily) cadence; templatized production; bring on a part-time editor in Year 2; protect a sustainable workload.</w:t>
            </w:r>
          </w:p>
        </w:tc>
      </w:tr>
      <w:tr>
        <w:tc>
          <w:tcPr>
            <w:tcW w:type="dxa" w:w="2736"/>
            <w:shd w:val="clear" w:color="auto" w:fill="EEF3F4"/>
          </w:tcPr>
          <w:p>
            <w:pPr>
              <w:jc w:val="left"/>
            </w:pPr>
            <w:r/>
            <w:r>
              <w:rPr>
                <w:b/>
                <w:color w:val="1B3A4B"/>
                <w:sz w:val="18"/>
              </w:rPr>
              <w:t>Unproven local willingness-to-pay</w:t>
            </w:r>
          </w:p>
        </w:tc>
        <w:tc>
          <w:tcPr>
            <w:tcW w:type="dxa" w:w="1296"/>
            <w:shd w:val="clear" w:color="auto" w:fill="EEF3F4"/>
          </w:tcPr>
          <w:p>
            <w:pPr>
              <w:jc w:val="center"/>
            </w:pPr>
            <w:r/>
            <w:r>
              <w:rPr>
                <w:b w:val="0"/>
                <w:sz w:val="18"/>
              </w:rPr>
              <w:t>Medium</w:t>
            </w:r>
          </w:p>
        </w:tc>
        <w:tc>
          <w:tcPr>
            <w:tcW w:type="dxa" w:w="5040"/>
            <w:shd w:val="clear" w:color="auto" w:fill="EEF3F4"/>
          </w:tcPr>
          <w:p>
            <w:pPr>
              <w:jc w:val="center"/>
            </w:pPr>
            <w:r/>
            <w:r>
              <w:rPr>
                <w:b w:val="0"/>
                <w:sz w:val="18"/>
              </w:rPr>
              <w:t>No paid independent newsletter exists here yet — run a paid founding-member presale before launch to prove demand; lean on events/products if conversion lags.</w:t>
            </w:r>
          </w:p>
        </w:tc>
      </w:tr>
      <w:tr>
        <w:tc>
          <w:tcPr>
            <w:tcW w:type="dxa" w:w="2736"/>
            <w:shd w:val="clear" w:color="auto" w:fill="FFFFFF"/>
          </w:tcPr>
          <w:p>
            <w:pPr>
              <w:jc w:val="left"/>
            </w:pPr>
            <w:r/>
            <w:r>
              <w:rPr>
                <w:b/>
                <w:color w:val="1B3A4B"/>
                <w:sz w:val="18"/>
              </w:rPr>
              <w:t>Incumbent response (NOOGAtoday)</w:t>
            </w:r>
          </w:p>
        </w:tc>
        <w:tc>
          <w:tcPr>
            <w:tcW w:type="dxa" w:w="1296"/>
            <w:shd w:val="clear" w:color="auto" w:fill="FFFFFF"/>
          </w:tcPr>
          <w:p>
            <w:pPr>
              <w:jc w:val="center"/>
            </w:pPr>
            <w:r/>
            <w:r>
              <w:rPr>
                <w:b w:val="0"/>
                <w:sz w:val="18"/>
              </w:rPr>
              <w:t>Medium</w:t>
            </w:r>
          </w:p>
        </w:tc>
        <w:tc>
          <w:tcPr>
            <w:tcW w:type="dxa" w:w="5040"/>
            <w:shd w:val="clear" w:color="auto" w:fill="FFFFFF"/>
          </w:tcPr>
          <w:p>
            <w:pPr>
              <w:jc w:val="center"/>
            </w:pPr>
            <w:r/>
            <w:r>
              <w:rPr>
                <w:b w:val="0"/>
                <w:sz w:val="18"/>
              </w:rPr>
              <w:t>Compete on quality, curation, community and events, not volume; the incumbent's ad model can't easily add a premium paid tier without conflict.</w:t>
            </w:r>
          </w:p>
        </w:tc>
      </w:tr>
      <w:tr>
        <w:tc>
          <w:tcPr>
            <w:tcW w:type="dxa" w:w="2736"/>
            <w:shd w:val="clear" w:color="auto" w:fill="EEF3F4"/>
          </w:tcPr>
          <w:p>
            <w:pPr>
              <w:jc w:val="left"/>
            </w:pPr>
            <w:r/>
            <w:r>
              <w:rPr>
                <w:b/>
                <w:color w:val="1B3A4B"/>
                <w:sz w:val="18"/>
              </w:rPr>
              <w:t>Platform / deliverability dependency</w:t>
            </w:r>
          </w:p>
        </w:tc>
        <w:tc>
          <w:tcPr>
            <w:tcW w:type="dxa" w:w="1296"/>
            <w:shd w:val="clear" w:color="auto" w:fill="EEF3F4"/>
          </w:tcPr>
          <w:p>
            <w:pPr>
              <w:jc w:val="center"/>
            </w:pPr>
            <w:r/>
            <w:r>
              <w:rPr>
                <w:b w:val="0"/>
                <w:sz w:val="18"/>
              </w:rPr>
              <w:t>Medium</w:t>
            </w:r>
          </w:p>
        </w:tc>
        <w:tc>
          <w:tcPr>
            <w:tcW w:type="dxa" w:w="5040"/>
            <w:shd w:val="clear" w:color="auto" w:fill="EEF3F4"/>
          </w:tcPr>
          <w:p>
            <w:pPr>
              <w:jc w:val="center"/>
            </w:pPr>
            <w:r/>
            <w:r>
              <w:rPr>
                <w:b w:val="0"/>
                <w:sz w:val="18"/>
              </w:rPr>
              <w:t>Own the email list; choose a portable platform (beehiiv/Ghost); monitor inbox placement; never rely on a single social channel.</w:t>
            </w:r>
          </w:p>
        </w:tc>
      </w:tr>
      <w:tr>
        <w:tc>
          <w:tcPr>
            <w:tcW w:type="dxa" w:w="2736"/>
            <w:shd w:val="clear" w:color="auto" w:fill="FFFFFF"/>
          </w:tcPr>
          <w:p>
            <w:pPr>
              <w:jc w:val="left"/>
            </w:pPr>
            <w:r/>
            <w:r>
              <w:rPr>
                <w:b/>
                <w:color w:val="1B3A4B"/>
                <w:sz w:val="18"/>
              </w:rPr>
              <w:t>Over-reliance on one stream</w:t>
            </w:r>
          </w:p>
        </w:tc>
        <w:tc>
          <w:tcPr>
            <w:tcW w:type="dxa" w:w="1296"/>
            <w:shd w:val="clear" w:color="auto" w:fill="FFFFFF"/>
          </w:tcPr>
          <w:p>
            <w:pPr>
              <w:jc w:val="center"/>
            </w:pPr>
            <w:r/>
            <w:r>
              <w:rPr>
                <w:b w:val="0"/>
                <w:sz w:val="18"/>
              </w:rPr>
              <w:t>Medium</w:t>
            </w:r>
          </w:p>
        </w:tc>
        <w:tc>
          <w:tcPr>
            <w:tcW w:type="dxa" w:w="5040"/>
            <w:shd w:val="clear" w:color="auto" w:fill="FFFFFF"/>
          </w:tcPr>
          <w:p>
            <w:pPr>
              <w:jc w:val="center"/>
            </w:pPr>
            <w:r/>
            <w:r>
              <w:rPr>
                <w:b w:val="0"/>
                <w:sz w:val="18"/>
              </w:rPr>
              <w:t>Three pillars by design; target no single stream &gt;50% of revenue (mirrors Catskill Crew's 11-stream resilience).</w:t>
            </w:r>
          </w:p>
        </w:tc>
      </w:tr>
      <w:tr>
        <w:tc>
          <w:tcPr>
            <w:tcW w:type="dxa" w:w="2736"/>
            <w:shd w:val="clear" w:color="auto" w:fill="EEF3F4"/>
          </w:tcPr>
          <w:p>
            <w:pPr>
              <w:jc w:val="left"/>
            </w:pPr>
            <w:r/>
            <w:r>
              <w:rPr>
                <w:b/>
                <w:color w:val="1B3A4B"/>
                <w:sz w:val="18"/>
              </w:rPr>
              <w:t>Affordability ceiling (city poverty ~19%)</w:t>
            </w:r>
          </w:p>
        </w:tc>
        <w:tc>
          <w:tcPr>
            <w:tcW w:type="dxa" w:w="1296"/>
            <w:shd w:val="clear" w:color="auto" w:fill="EEF3F4"/>
          </w:tcPr>
          <w:p>
            <w:pPr>
              <w:jc w:val="center"/>
            </w:pPr>
            <w:r/>
            <w:r>
              <w:rPr>
                <w:b w:val="0"/>
                <w:sz w:val="18"/>
              </w:rPr>
              <w:t>Low</w:t>
            </w:r>
          </w:p>
        </w:tc>
        <w:tc>
          <w:tcPr>
            <w:tcW w:type="dxa" w:w="5040"/>
            <w:shd w:val="clear" w:color="auto" w:fill="EEF3F4"/>
          </w:tcPr>
          <w:p>
            <w:pPr>
              <w:jc w:val="center"/>
            </w:pPr>
            <w:r/>
            <w:r>
              <w:rPr>
                <w:b w:val="0"/>
                <w:sz w:val="18"/>
              </w:rPr>
              <w:t>Free tier keeps the brand universally accessible; paid tiers target the affluent, growing transplant segment.</w:t>
            </w:r>
          </w:p>
        </w:tc>
      </w:tr>
    </w:tbl>
    <w:p>
      <w:pPr>
        <w:spacing w:after="40"/>
      </w:pPr>
    </w:p>
    <w:p>
      <w:pPr>
        <w:spacing w:after="200"/>
        <w:jc w:val="left"/>
      </w:pPr>
      <w:r>
        <w:rPr>
          <w:i/>
          <w:color w:val="6B7B85"/>
          <w:sz w:val="17"/>
        </w:rPr>
        <w:t>Table 13. Risk register.</w:t>
      </w:r>
    </w:p>
    <w:p>
      <w:pPr>
        <w:spacing w:before="280" w:after="80"/>
        <w:pBdr>
          <w:bottom w:val="single" w:sz="6" w:space="2" w:color="2A9D8F"/>
        </w:pBdr>
      </w:pPr>
      <w:r>
        <w:rPr>
          <w:b/>
          <w:color w:val="1B3A4B"/>
          <w:sz w:val="34"/>
        </w:rPr>
        <w:t>11. Roadmap &amp; Milestones</w:t>
      </w:r>
    </w:p>
    <w:tbl>
      <w:tblPr>
        <w:tblStyle w:val="TableGrid"/>
        <w:tblW w:type="auto" w:w="0"/>
        <w:jc w:val="center"/>
        <w:tblLayout w:type="autofit"/>
        <w:tblLook w:firstColumn="1" w:firstRow="1" w:lastColumn="0" w:lastRow="0" w:noHBand="0" w:noVBand="1" w:val="04A0"/>
      </w:tblPr>
      <w:tblGrid>
        <w:gridCol w:w="4824"/>
        <w:gridCol w:w="4824"/>
      </w:tblGrid>
      <w:tr>
        <w:tc>
          <w:tcPr>
            <w:tcW w:type="dxa" w:w="2448"/>
            <w:shd w:val="clear" w:color="auto" w:fill="1B3A4B"/>
          </w:tcPr>
          <w:p>
            <w:pPr>
              <w:jc w:val="left"/>
            </w:pPr>
            <w:r/>
            <w:r>
              <w:rPr>
                <w:b/>
                <w:color w:val="FFFFFF"/>
                <w:sz w:val="19"/>
              </w:rPr>
              <w:t>Phase</w:t>
            </w:r>
          </w:p>
        </w:tc>
        <w:tc>
          <w:tcPr>
            <w:tcW w:type="dxa" w:w="6624"/>
            <w:shd w:val="clear" w:color="auto" w:fill="1B3A4B"/>
          </w:tcPr>
          <w:p>
            <w:pPr>
              <w:jc w:val="center"/>
            </w:pPr>
            <w:r/>
            <w:r>
              <w:rPr>
                <w:b/>
                <w:color w:val="FFFFFF"/>
                <w:sz w:val="19"/>
              </w:rPr>
              <w:t>Key milestones</w:t>
            </w:r>
          </w:p>
        </w:tc>
      </w:tr>
      <w:tr>
        <w:tc>
          <w:tcPr>
            <w:tcW w:type="dxa" w:w="2448"/>
            <w:shd w:val="clear" w:color="auto" w:fill="EEF3F4"/>
          </w:tcPr>
          <w:p>
            <w:pPr>
              <w:jc w:val="left"/>
            </w:pPr>
            <w:r/>
            <w:r>
              <w:rPr>
                <w:b/>
                <w:color w:val="1B3A4B"/>
                <w:sz w:val="19"/>
              </w:rPr>
              <w:t>Pre-launch (Mo. 0–2)</w:t>
            </w:r>
          </w:p>
        </w:tc>
        <w:tc>
          <w:tcPr>
            <w:tcW w:type="dxa" w:w="6624"/>
            <w:shd w:val="clear" w:color="auto" w:fill="EEF3F4"/>
          </w:tcPr>
          <w:p>
            <w:pPr>
              <w:jc w:val="center"/>
            </w:pPr>
            <w:r/>
            <w:r>
              <w:rPr>
                <w:b w:val="0"/>
                <w:sz w:val="19"/>
              </w:rPr>
              <w:t>Form LLC; build brand &amp; site; choose beehiiv; line up 5–10 launch partners; open founding-member presale to validate demand.</w:t>
            </w:r>
          </w:p>
        </w:tc>
      </w:tr>
      <w:tr>
        <w:tc>
          <w:tcPr>
            <w:tcW w:type="dxa" w:w="2448"/>
            <w:shd w:val="clear" w:color="auto" w:fill="FFFFFF"/>
          </w:tcPr>
          <w:p>
            <w:pPr>
              <w:jc w:val="left"/>
            </w:pPr>
            <w:r/>
            <w:r>
              <w:rPr>
                <w:b/>
                <w:color w:val="1B3A4B"/>
                <w:sz w:val="19"/>
              </w:rPr>
              <w:t>Launch (Mo. 3)</w:t>
            </w:r>
          </w:p>
        </w:tc>
        <w:tc>
          <w:tcPr>
            <w:tcW w:type="dxa" w:w="6624"/>
            <w:shd w:val="clear" w:color="auto" w:fill="FFFFFF"/>
          </w:tcPr>
          <w:p>
            <w:pPr>
              <w:jc w:val="center"/>
            </w:pPr>
            <w:r/>
            <w:r>
              <w:rPr>
                <w:b w:val="0"/>
                <w:sz w:val="19"/>
              </w:rPr>
              <w:t>Publish first weekly Scout; activate referral program; host launch event.</w:t>
            </w:r>
          </w:p>
        </w:tc>
      </w:tr>
      <w:tr>
        <w:tc>
          <w:tcPr>
            <w:tcW w:type="dxa" w:w="2448"/>
            <w:shd w:val="clear" w:color="auto" w:fill="EEF3F4"/>
          </w:tcPr>
          <w:p>
            <w:pPr>
              <w:jc w:val="left"/>
            </w:pPr>
            <w:r/>
            <w:r>
              <w:rPr>
                <w:b/>
                <w:color w:val="1B3A4B"/>
                <w:sz w:val="19"/>
              </w:rPr>
              <w:t>Mo. 3–12</w:t>
            </w:r>
          </w:p>
        </w:tc>
        <w:tc>
          <w:tcPr>
            <w:tcW w:type="dxa" w:w="6624"/>
            <w:shd w:val="clear" w:color="auto" w:fill="EEF3F4"/>
          </w:tcPr>
          <w:p>
            <w:pPr>
              <w:jc w:val="center"/>
            </w:pPr>
            <w:r/>
            <w:r>
              <w:rPr>
                <w:b w:val="0"/>
                <w:sz w:val="19"/>
              </w:rPr>
              <w:t>Grow to ~7,000 free / ~350 members; run 3 events; ship first guide + merch drop.</w:t>
            </w:r>
          </w:p>
        </w:tc>
      </w:tr>
      <w:tr>
        <w:tc>
          <w:tcPr>
            <w:tcW w:type="dxa" w:w="2448"/>
            <w:shd w:val="clear" w:color="auto" w:fill="FFFFFF"/>
          </w:tcPr>
          <w:p>
            <w:pPr>
              <w:jc w:val="left"/>
            </w:pPr>
            <w:r/>
            <w:r>
              <w:rPr>
                <w:b/>
                <w:color w:val="1B3A4B"/>
                <w:sz w:val="19"/>
              </w:rPr>
              <w:t>Year 2</w:t>
            </w:r>
          </w:p>
        </w:tc>
        <w:tc>
          <w:tcPr>
            <w:tcW w:type="dxa" w:w="6624"/>
            <w:shd w:val="clear" w:color="auto" w:fill="FFFFFF"/>
          </w:tcPr>
          <w:p>
            <w:pPr>
              <w:jc w:val="center"/>
            </w:pPr>
            <w:r/>
            <w:r>
              <w:rPr>
                <w:b w:val="0"/>
                <w:sz w:val="19"/>
              </w:rPr>
              <w:t>Scale to ~16,000 free / ~850 members; 7 events incl. quarterly ticketed; add part-time editor; launch Scout Card.</w:t>
            </w:r>
          </w:p>
        </w:tc>
      </w:tr>
      <w:tr>
        <w:tc>
          <w:tcPr>
            <w:tcW w:type="dxa" w:w="2448"/>
            <w:shd w:val="clear" w:color="auto" w:fill="EEF3F4"/>
          </w:tcPr>
          <w:p>
            <w:pPr>
              <w:jc w:val="left"/>
            </w:pPr>
            <w:r/>
            <w:r>
              <w:rPr>
                <w:b/>
                <w:color w:val="1B3A4B"/>
                <w:sz w:val="19"/>
              </w:rPr>
              <w:t>Year 3</w:t>
            </w:r>
          </w:p>
        </w:tc>
        <w:tc>
          <w:tcPr>
            <w:tcW w:type="dxa" w:w="6624"/>
            <w:shd w:val="clear" w:color="auto" w:fill="EEF3F4"/>
          </w:tcPr>
          <w:p>
            <w:pPr>
              <w:jc w:val="center"/>
            </w:pPr>
            <w:r/>
            <w:r>
              <w:rPr>
                <w:b w:val="0"/>
                <w:sz w:val="19"/>
              </w:rPr>
              <w:t>~28,000 free / ~1,700 members; 12 events incl. signature festival; full-time founder + contractor team; evaluate a second edition/vertical.</w:t>
            </w:r>
          </w:p>
        </w:tc>
      </w:tr>
    </w:tbl>
    <w:p>
      <w:pPr>
        <w:spacing w:after="40"/>
      </w:pPr>
    </w:p>
    <w:p>
      <w:pPr>
        <w:spacing w:after="200"/>
        <w:jc w:val="left"/>
      </w:pPr>
      <w:r>
        <w:rPr>
          <w:i/>
          <w:color w:val="6B7B85"/>
          <w:sz w:val="17"/>
        </w:rPr>
        <w:t>Table 14. Phased roadmap.</w:t>
      </w:r>
    </w:p>
    <w:p>
      <w:pPr>
        <w:spacing w:before="280" w:after="80"/>
        <w:pBdr>
          <w:bottom w:val="single" w:sz="6" w:space="2" w:color="2A9D8F"/>
        </w:pBdr>
      </w:pPr>
      <w:r>
        <w:rPr>
          <w:b/>
          <w:color w:val="1B3A4B"/>
          <w:sz w:val="34"/>
        </w:rPr>
        <w:t>12. Conclusion</w:t>
      </w:r>
    </w:p>
    <w:p>
      <w:pPr>
        <w:spacing w:after="120"/>
        <w:jc w:val="both"/>
      </w:pPr>
      <w:r>
        <w:rPr>
          <w:i w:val="0"/>
          <w:sz w:val="22"/>
        </w:rPr>
        <w:t xml:space="preserve">Brief Scout Media is a focused bet on a simple, evidence-backed idea: in a city losing legacy news but gaining engaged, affluent newcomers, a beloved weekly newsletter can be funded </w:t>
      </w:r>
      <w:r>
        <w:rPr>
          <w:b/>
          <w:i w:val="0"/>
          <w:sz w:val="22"/>
        </w:rPr>
        <w:t>directly by the people who read it</w:t>
      </w:r>
      <w:r>
        <w:rPr>
          <w:i w:val="0"/>
          <w:sz w:val="22"/>
        </w:rPr>
        <w:t xml:space="preserve"> — through membership, products, and events — rather than by advertisers. The Chattanooga market is large, growing, wired, and event-rich; the competitive lane for a premium reader-funded brand is wide open; comparable operators from Catskill Crew to Charlotte Ledger to Defector prove the model pays; and the capital required is small. The plan is conservative by design and still reaches a full-time founder income within roughly 18–24 months, on three diversified, mission-aligned revenue streams. The path is demanding — local media rewards patience and consistency — but the structure is sound and the timing is right.</w:t>
      </w:r>
    </w:p>
    <w:p>
      <w:r>
        <w:br w:type="page"/>
      </w:r>
    </w:p>
    <w:p>
      <w:pPr>
        <w:spacing w:before="280" w:after="80"/>
        <w:pBdr>
          <w:bottom w:val="single" w:sz="6" w:space="2" w:color="2A9D8F"/>
        </w:pBdr>
      </w:pPr>
      <w:r>
        <w:rPr>
          <w:b/>
          <w:color w:val="1B3A4B"/>
          <w:sz w:val="34"/>
        </w:rPr>
        <w:t>Appendix — Selected Sources</w:t>
      </w:r>
    </w:p>
    <w:p>
      <w:pPr>
        <w:spacing w:after="120"/>
        <w:jc w:val="left"/>
      </w:pPr>
      <w:r>
        <w:rPr>
          <w:i w:val="0"/>
          <w:color w:val="415A6B"/>
          <w:sz w:val="20"/>
        </w:rPr>
        <w:t>This plan synthesizes a multi-source research effort. Key references by theme:</w:t>
      </w:r>
    </w:p>
    <w:p>
      <w:pPr>
        <w:spacing w:after="120"/>
        <w:jc w:val="left"/>
      </w:pPr>
      <w:r>
        <w:rPr>
          <w:i w:val="0"/>
          <w:color w:val="2A9D8F"/>
          <w:sz w:val="22"/>
        </w:rPr>
        <w:t>Local news &amp; newsletter industry</w:t>
      </w:r>
    </w:p>
    <w:p>
      <w:pPr>
        <w:pStyle w:val="ListBullet"/>
        <w:spacing w:after="40"/>
      </w:pPr>
      <w:r>
        <w:rPr>
          <w:color w:val="415A6B"/>
          <w:sz w:val="17"/>
        </w:rPr>
        <w:t>Northwestern Medill, State of Local News 2024 — localnewsinitiative.northwestern.edu</w:t>
      </w:r>
    </w:p>
    <w:p>
      <w:pPr>
        <w:pStyle w:val="ListBullet"/>
        <w:spacing w:after="40"/>
      </w:pPr>
      <w:r>
        <w:rPr>
          <w:color w:val="415A6B"/>
          <w:sz w:val="17"/>
        </w:rPr>
        <w:t>Press Gazette, 6AM City / Axios Local coverage (2024) — pressgazette.co.uk</w:t>
      </w:r>
    </w:p>
    <w:p>
      <w:pPr>
        <w:pStyle w:val="ListBullet"/>
        <w:spacing w:after="40"/>
      </w:pPr>
      <w:r>
        <w:rPr>
          <w:color w:val="415A6B"/>
          <w:sz w:val="17"/>
        </w:rPr>
        <w:t>Newsletter Operator; HubSpot State of Newsletters 2025; ClickMinded Newsletter Statistics 2026</w:t>
      </w:r>
    </w:p>
    <w:p>
      <w:pPr>
        <w:pStyle w:val="ListBullet"/>
        <w:spacing w:after="40"/>
      </w:pPr>
      <w:r>
        <w:rPr>
          <w:color w:val="415A6B"/>
          <w:sz w:val="17"/>
        </w:rPr>
        <w:t xml:space="preserve">beehiiv — Catskill Crew case study; Side Hustle Nation — Naptown Scoop ($200K) </w:t>
      </w:r>
    </w:p>
    <w:p>
      <w:pPr>
        <w:spacing w:after="120"/>
        <w:jc w:val="left"/>
      </w:pPr>
      <w:r>
        <w:rPr>
          <w:i w:val="0"/>
          <w:color w:val="2A9D8F"/>
          <w:sz w:val="22"/>
        </w:rPr>
        <w:t>Reader-revenue &amp; membership economics</w:t>
      </w:r>
    </w:p>
    <w:p>
      <w:pPr>
        <w:pStyle w:val="ListBullet"/>
        <w:spacing w:after="40"/>
      </w:pPr>
      <w:r>
        <w:rPr>
          <w:color w:val="415A6B"/>
          <w:sz w:val="17"/>
        </w:rPr>
        <w:t>Lenfest Institute — Business Models for Local News; American Press Institute — subscriber retention</w:t>
      </w:r>
    </w:p>
    <w:p>
      <w:pPr>
        <w:pStyle w:val="ListBullet"/>
        <w:spacing w:after="40"/>
      </w:pPr>
      <w:r>
        <w:rPr>
          <w:color w:val="415A6B"/>
          <w:sz w:val="17"/>
        </w:rPr>
        <w:t>Membership Puzzle Project — The Membership Guide; Piano — Subscription Performance Benchmarks 2024</w:t>
      </w:r>
    </w:p>
    <w:p>
      <w:pPr>
        <w:pStyle w:val="ListBullet"/>
        <w:spacing w:after="40"/>
      </w:pPr>
      <w:r>
        <w:rPr>
          <w:color w:val="415A6B"/>
          <w:sz w:val="17"/>
        </w:rPr>
        <w:t>Substack conversion analyses (Simon Owens; yana-g-y); Nieman Lab — Defector, Hell Gate, 404 Media, Racket</w:t>
      </w:r>
    </w:p>
    <w:p>
      <w:pPr>
        <w:pStyle w:val="ListBullet"/>
        <w:spacing w:after="40"/>
      </w:pPr>
      <w:r>
        <w:rPr>
          <w:color w:val="415A6B"/>
          <w:sz w:val="17"/>
        </w:rPr>
        <w:t>Editor &amp; Publisher — Charlotte Ledger, Cityside/Berkeleyside; Colorado Sun</w:t>
      </w:r>
    </w:p>
    <w:p>
      <w:pPr>
        <w:spacing w:after="120"/>
        <w:jc w:val="left"/>
      </w:pPr>
      <w:r>
        <w:rPr>
          <w:i w:val="0"/>
          <w:color w:val="2A9D8F"/>
          <w:sz w:val="22"/>
        </w:rPr>
        <w:t>Events as media revenue</w:t>
      </w:r>
    </w:p>
    <w:p>
      <w:pPr>
        <w:pStyle w:val="ListBullet"/>
        <w:spacing w:after="40"/>
      </w:pPr>
      <w:r>
        <w:rPr>
          <w:color w:val="415A6B"/>
          <w:sz w:val="17"/>
        </w:rPr>
        <w:t>Adweek / Digiday — TIME, Semafor, Bloomberg, Atlantic, Forbes events revenue (2024–2026)</w:t>
      </w:r>
    </w:p>
    <w:p>
      <w:pPr>
        <w:pStyle w:val="ListBullet"/>
        <w:spacing w:after="40"/>
      </w:pPr>
      <w:r>
        <w:rPr>
          <w:color w:val="415A6B"/>
          <w:sz w:val="17"/>
        </w:rPr>
        <w:t>A Media Operator — Financial Times / FT Live 2024 results; Eventbrite TRNDS Report; Ticket Fairy festival economics</w:t>
      </w:r>
    </w:p>
    <w:p>
      <w:pPr>
        <w:spacing w:after="120"/>
        <w:jc w:val="left"/>
      </w:pPr>
      <w:r>
        <w:rPr>
          <w:i w:val="0"/>
          <w:color w:val="2A9D8F"/>
          <w:sz w:val="22"/>
        </w:rPr>
        <w:t>Platforms, products &amp; costs</w:t>
      </w:r>
    </w:p>
    <w:p>
      <w:pPr>
        <w:pStyle w:val="ListBullet"/>
        <w:spacing w:after="40"/>
      </w:pPr>
      <w:r>
        <w:rPr>
          <w:color w:val="415A6B"/>
          <w:sz w:val="17"/>
        </w:rPr>
        <w:t>beehiiv, Substack, Ghost, Kit, Mailchimp pricing (2026); Stripe / Wise fee guides</w:t>
      </w:r>
    </w:p>
    <w:p>
      <w:pPr>
        <w:pStyle w:val="ListBullet"/>
        <w:spacing w:after="40"/>
      </w:pPr>
      <w:r>
        <w:rPr>
          <w:color w:val="415A6B"/>
          <w:sz w:val="17"/>
        </w:rPr>
        <w:t>TailorBrands / LLCUniversity — LLC formation costs; print-on-demand vs bulk merch economics</w:t>
      </w:r>
    </w:p>
    <w:p>
      <w:pPr>
        <w:spacing w:after="120"/>
        <w:jc w:val="left"/>
      </w:pPr>
      <w:r>
        <w:rPr>
          <w:i w:val="0"/>
          <w:color w:val="2A9D8F"/>
          <w:sz w:val="22"/>
        </w:rPr>
        <w:t>Chattanooga market</w:t>
      </w:r>
    </w:p>
    <w:p>
      <w:pPr>
        <w:pStyle w:val="ListBullet"/>
        <w:spacing w:after="40"/>
      </w:pPr>
      <w:r>
        <w:rPr>
          <w:color w:val="415A6B"/>
          <w:sz w:val="17"/>
        </w:rPr>
        <w:t>U.S. Census Bureau QuickFacts; UTC Center for Regional Economic Research white papers (2026)</w:t>
      </w:r>
    </w:p>
    <w:p>
      <w:pPr>
        <w:pStyle w:val="ListBullet"/>
        <w:spacing w:after="40"/>
      </w:pPr>
      <w:r>
        <w:rPr>
          <w:color w:val="415A6B"/>
          <w:sz w:val="17"/>
        </w:rPr>
        <w:t>Chattanooga Tourism Co. 2024 Annual Report; Tennessee Dept. of Tourist Development (2024)</w:t>
      </w:r>
    </w:p>
    <w:p>
      <w:pPr>
        <w:pStyle w:val="ListBullet"/>
        <w:spacing w:after="40"/>
      </w:pPr>
      <w:r>
        <w:rPr>
          <w:color w:val="415A6B"/>
          <w:sz w:val="17"/>
        </w:rPr>
        <w:t>EPB 2024 Annual Report (Gig City fiber); Times Free Press; Chattanooga Chamber major-employers list</w:t>
      </w:r>
    </w:p>
    <w:p>
      <w:pPr>
        <w:pStyle w:val="ListBullet"/>
        <w:spacing w:after="40"/>
      </w:pPr>
      <w:r>
        <w:rPr>
          <w:color w:val="415A6B"/>
          <w:sz w:val="17"/>
        </w:rPr>
        <w:t>Times Free Press, NOOGAtoday/6AM City, The Chattanooga Pulse, Chattanoogan.com, ChattaMatters</w:t>
      </w:r>
    </w:p>
    <w:p>
      <w:pPr>
        <w:spacing w:after="120"/>
        <w:jc w:val="left"/>
      </w:pPr>
      <w:r>
        <w:rPr>
          <w:i/>
          <w:color w:val="6B7B85"/>
          <w:sz w:val="17"/>
        </w:rPr>
        <w:t>Note: several figures are operator anecdotes or industry estimates (flagged as such in the underlying research) rather than audited statistics; Chattanooga subscriber counts for competitors are self-reported. Verify load-bearing local figures (Times Free Press circulation, current competitor lists, Census household/income tables) directly before external use.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