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4B"/>
          <w:sz w:val="64"/>
        </w:rPr>
        <w:t>BRIEF SCOUT MEDIA</w:t>
      </w:r>
    </w:p>
    <w:p>
      <w:pPr>
        <w:jc w:val="center"/>
      </w:pPr>
      <w:r>
        <w:rPr>
          <w:color w:val="2A9D8F"/>
          <w:sz w:val="40"/>
        </w:rPr>
        <w:t>Strategic Addendum</w:t>
      </w:r>
    </w:p>
    <w:p>
      <w:pPr>
        <w:jc w:val="center"/>
      </w:pPr>
      <w:r>
        <w:rPr>
          <w:i/>
          <w:color w:val="415A6B"/>
          <w:sz w:val="25"/>
        </w:rPr>
        <w:t>Year-1 Cash Flow · AI + Human-in-the-Loop · Pre-Funding Milestones · Expansion · Moat</w:t>
      </w:r>
    </w:p>
    <w:p/>
    <w:p/>
    <w:p>
      <w:pPr>
        <w:jc w:val="center"/>
      </w:pPr>
      <w:r>
        <w:rPr>
          <w:color w:val="6B7B85"/>
          <w:sz w:val="21"/>
        </w:rPr>
        <w:t>Companion to the Brief Scout Media Founder Business Plan  ·  June 2026</w:t>
      </w:r>
    </w:p>
    <w:p>
      <w:r>
        <w:br w:type="page"/>
      </w:r>
    </w:p>
    <w:p>
      <w:pPr>
        <w:spacing w:before="280" w:after="80"/>
        <w:pBdr>
          <w:bottom w:val="single" w:sz="6" w:space="2" w:color="2A9D8F"/>
        </w:pBdr>
      </w:pPr>
      <w:r>
        <w:rPr>
          <w:b/>
          <w:color w:val="1B3A4B"/>
          <w:sz w:val="34"/>
        </w:rPr>
        <w:t>1. Year-1 Monthly Cash-Flow Model</w:t>
      </w:r>
    </w:p>
    <w:p>
      <w:pPr>
        <w:spacing w:after="120"/>
        <w:jc w:val="both"/>
      </w:pPr>
      <w:r>
        <w:rPr>
          <w:i w:val="0"/>
          <w:sz w:val="22"/>
        </w:rPr>
        <w:t xml:space="preserve">This model tracks cash month-by-month through the first year, </w:t>
      </w:r>
      <w:r>
        <w:rPr>
          <w:b/>
          <w:i w:val="0"/>
          <w:sz w:val="22"/>
        </w:rPr>
        <w:t>bootstrapped with no outside funding</w:t>
      </w:r>
      <w:r>
        <w:rPr>
          <w:i w:val="0"/>
          <w:sz w:val="22"/>
        </w:rPr>
        <w:t xml:space="preserve">. It assumes ~$5,000 of founder startup capital (≈$2,500 spent pre-launch on LLC, brand, and site), and that the founder takes </w:t>
      </w:r>
      <w:r>
        <w:rPr>
          <w:b/>
          <w:i w:val="0"/>
          <w:sz w:val="22"/>
        </w:rPr>
        <w:t>no salary draw in Year 1</w:t>
      </w:r>
      <w:r>
        <w:rPr>
          <w:i w:val="0"/>
          <w:sz w:val="22"/>
        </w:rPr>
        <w:t xml:space="preserve"> — reinvesting all surplus into a cash war chest while (realistically) keeping a day job. All three reader-funded streams are switched on from launch. Event and product lines are shown </w:t>
      </w:r>
      <w:r>
        <w:rPr>
          <w:b/>
          <w:i w:val="0"/>
          <w:sz w:val="22"/>
        </w:rPr>
        <w:t>net</w:t>
      </w:r>
      <w:r>
        <w:rPr>
          <w:i w:val="0"/>
          <w:sz w:val="22"/>
        </w:rPr>
        <w:t xml:space="preserve"> of their direct costs (venue/JV share, COGS).</w:t>
      </w:r>
    </w:p>
    <w:p>
      <w:pPr>
        <w:spacing w:after="120"/>
        <w:jc w:val="both"/>
      </w:pPr>
      <w:r>
        <w:rPr>
          <w:b/>
          <w:i w:val="0"/>
          <w:sz w:val="22"/>
        </w:rPr>
        <w:t>Headline result:</w:t>
      </w:r>
      <w:r>
        <w:rPr>
          <w:i w:val="0"/>
          <w:sz w:val="22"/>
        </w:rPr>
        <w:t xml:space="preserve"> Year 1 generates roughly </w:t>
      </w:r>
      <w:r>
        <w:rPr>
          <w:b/>
          <w:i w:val="0"/>
          <w:sz w:val="22"/>
        </w:rPr>
        <w:t>$34K in net revenue</w:t>
      </w:r>
      <w:r>
        <w:rPr>
          <w:i w:val="0"/>
          <w:sz w:val="22"/>
        </w:rPr>
        <w:t xml:space="preserve"> (membership $19K, events $9K, products $5K), spends ~$9K on operations, and </w:t>
      </w:r>
      <w:r>
        <w:rPr>
          <w:b/>
          <w:i w:val="0"/>
          <w:sz w:val="22"/>
        </w:rPr>
        <w:t>ends the year with about $27K in the bank</w:t>
      </w:r>
      <w:r>
        <w:rPr>
          <w:i w:val="0"/>
          <w:sz w:val="22"/>
        </w:rPr>
        <w:t xml:space="preserve"> — having validated every revenue stream without a dollar of advertising or investment. Cash never dips below the opening balance, so the business is </w:t>
      </w:r>
      <w:r>
        <w:rPr>
          <w:b/>
          <w:i w:val="0"/>
          <w:sz w:val="22"/>
        </w:rPr>
        <w:t>'default alive.'</w:t>
      </w:r>
    </w:p>
    <w:p>
      <w:pPr>
        <w:jc w:val="center"/>
      </w:pPr>
      <w:r>
        <w:drawing>
          <wp:inline xmlns:a="http://schemas.openxmlformats.org/drawingml/2006/main" xmlns:pic="http://schemas.openxmlformats.org/drawingml/2006/picture">
            <wp:extent cx="6309360" cy="2969878"/>
            <wp:docPr id="1" name="Picture 1"/>
            <wp:cNvGraphicFramePr>
              <a:graphicFrameLocks noChangeAspect="1"/>
            </wp:cNvGraphicFramePr>
            <a:graphic>
              <a:graphicData uri="http://schemas.openxmlformats.org/drawingml/2006/picture">
                <pic:pic>
                  <pic:nvPicPr>
                    <pic:cNvPr id="0" name="fig_cashflow.png"/>
                    <pic:cNvPicPr/>
                  </pic:nvPicPr>
                  <pic:blipFill>
                    <a:blip r:embed="rId9"/>
                    <a:stretch>
                      <a:fillRect/>
                    </a:stretch>
                  </pic:blipFill>
                  <pic:spPr>
                    <a:xfrm>
                      <a:off x="0" y="0"/>
                      <a:ext cx="6309360" cy="2969878"/>
                    </a:xfrm>
                    <a:prstGeom prst="rect"/>
                  </pic:spPr>
                </pic:pic>
              </a:graphicData>
            </a:graphic>
          </wp:inline>
        </w:drawing>
      </w:r>
    </w:p>
    <w:p>
      <w:pPr>
        <w:spacing w:after="240"/>
        <w:jc w:val="center"/>
      </w:pPr>
      <w:r>
        <w:rPr>
          <w:i/>
          <w:color w:val="6B7B85"/>
          <w:sz w:val="17"/>
        </w:rPr>
        <w:t>Figure A1. Monthly net cash (bars) and cumulative balance (line). Step-ups in Months 6 and 10 are the first ticketed events; the trough in Months 1–2 is the pre-revenue launch ramp.</w:t>
      </w:r>
    </w:p>
    <w:p>
      <w:pPr>
        <w:spacing w:after="120"/>
        <w:jc w:val="left"/>
      </w:pPr>
      <w:r>
        <w:rPr>
          <w:b/>
          <w:i w:val="0"/>
          <w:sz w:val="22"/>
        </w:rPr>
        <w:t>Key monthly assumptions:</w:t>
      </w:r>
    </w:p>
    <w:p>
      <w:pPr>
        <w:pStyle w:val="ListBullet"/>
        <w:spacing w:after="60"/>
      </w:pPr>
      <w:r>
        <w:rPr>
          <w:b/>
          <w:sz w:val="21"/>
        </w:rPr>
        <w:t>Free list</w:t>
      </w:r>
      <w:r>
        <w:rPr>
          <w:sz w:val="21"/>
        </w:rPr>
        <w:t xml:space="preserve"> grows ~600/mo early, tapering to ~7,000 by Month 12 (organic / referral / events — no paid geo-acquisition).</w:t>
      </w:r>
    </w:p>
    <w:p>
      <w:pPr>
        <w:pStyle w:val="ListBullet"/>
        <w:spacing w:after="60"/>
      </w:pPr>
      <w:r>
        <w:rPr>
          <w:b/>
          <w:sz w:val="21"/>
        </w:rPr>
        <w:t>Members</w:t>
      </w:r>
      <w:r>
        <w:rPr>
          <w:sz w:val="21"/>
        </w:rPr>
        <w:t xml:space="preserve"> reach 350 by Month 12 (~5% of the free list), seeded by a pre-launch founding-member presale.</w:t>
      </w:r>
    </w:p>
    <w:p>
      <w:pPr>
        <w:pStyle w:val="ListBullet"/>
        <w:spacing w:after="60"/>
      </w:pPr>
      <w:r>
        <w:rPr>
          <w:b/>
          <w:sz w:val="21"/>
        </w:rPr>
        <w:t>Events:</w:t>
      </w:r>
      <w:r>
        <w:rPr>
          <w:sz w:val="21"/>
        </w:rPr>
        <w:t xml:space="preserve"> a small launch event (M3), a ticketed tasting walk (M6), a member mixer (M9), and a larger ticketed event (M10).</w:t>
      </w:r>
    </w:p>
    <w:p>
      <w:pPr>
        <w:pStyle w:val="ListBullet"/>
        <w:spacing w:after="60"/>
      </w:pPr>
      <w:r>
        <w:rPr>
          <w:b/>
          <w:sz w:val="21"/>
        </w:rPr>
        <w:t>Products:</w:t>
      </w:r>
      <w:r>
        <w:rPr>
          <w:sz w:val="21"/>
        </w:rPr>
        <w:t xml:space="preserve"> a merch drop (M4), the first paid city guide (M5), restocks (M7), and a holiday merch push (M11–M12).</w:t>
      </w:r>
    </w:p>
    <w:p>
      <w:pPr>
        <w:pStyle w:val="ListBullet"/>
        <w:spacing w:after="60"/>
      </w:pPr>
      <w:r>
        <w:rPr>
          <w:b/>
          <w:sz w:val="21"/>
        </w:rPr>
        <w:t>Costs</w:t>
      </w:r>
      <w:r>
        <w:rPr>
          <w:sz w:val="21"/>
        </w:rPr>
        <w:t xml:space="preserve"> stay lean: beehiiv is free until ~2,500 subs (M3), then ~$45/mo; light marketing; part-time contractor help only from M9.</w:t>
      </w:r>
    </w:p>
    <w:p>
      <w:pPr>
        <w:sectPr>
          <w:pgSz w:w="12240" w:h="15840"/>
          <w:pgMar w:top="1296" w:right="1296" w:bottom="1296" w:left="1296" w:header="720" w:footer="720" w:gutter="0"/>
          <w:cols w:space="720"/>
          <w:docGrid w:linePitch="360"/>
        </w:sectPr>
      </w:pPr>
    </w:p>
    <w:p>
      <w:pPr>
        <w:spacing w:before="200" w:after="80"/>
      </w:pPr>
      <w:r>
        <w:rPr>
          <w:b/>
          <w:color w:val="2A9D8F"/>
          <w:sz w:val="27"/>
        </w:rPr>
        <w:t>1.1 Month-by-month cash flow detail</w:t>
      </w:r>
    </w:p>
    <w:tbl>
      <w:tblPr>
        <w:tblStyle w:val="TableGrid"/>
        <w:tblW w:type="auto" w:w="0"/>
        <w:jc w:val="center"/>
        <w:tblLook w:firstColumn="1" w:firstRow="1" w:lastColumn="0" w:lastRow="0" w:noHBand="0" w:noVBand="1" w:val="04A0"/>
      </w:tblPr>
      <w:tblGrid>
        <w:gridCol w:w="967"/>
        <w:gridCol w:w="967"/>
        <w:gridCol w:w="967"/>
        <w:gridCol w:w="967"/>
        <w:gridCol w:w="967"/>
        <w:gridCol w:w="967"/>
        <w:gridCol w:w="967"/>
        <w:gridCol w:w="967"/>
        <w:gridCol w:w="967"/>
        <w:gridCol w:w="967"/>
        <w:gridCol w:w="967"/>
        <w:gridCol w:w="967"/>
        <w:gridCol w:w="967"/>
        <w:gridCol w:w="967"/>
      </w:tblGrid>
      <w:tr>
        <w:tc>
          <w:tcPr>
            <w:tcW w:type="dxa" w:w="2088"/>
            <w:shd w:val="clear" w:color="auto" w:fill="1B3A4B"/>
          </w:tcPr>
          <w:p>
            <w:pPr>
              <w:jc w:val="left"/>
            </w:pPr>
            <w:r/>
            <w:r>
              <w:rPr>
                <w:b/>
                <w:color w:val="FFFFFF"/>
                <w:sz w:val="15"/>
              </w:rPr>
              <w:t>Line item ($)</w:t>
            </w:r>
          </w:p>
        </w:tc>
        <w:tc>
          <w:tcPr>
            <w:tcW w:type="dxa" w:w="893"/>
            <w:shd w:val="clear" w:color="auto" w:fill="1B3A4B"/>
          </w:tcPr>
          <w:p>
            <w:pPr>
              <w:jc w:val="center"/>
            </w:pPr>
            <w:r/>
            <w:r>
              <w:rPr>
                <w:b/>
                <w:color w:val="FFFFFF"/>
                <w:sz w:val="15"/>
              </w:rPr>
              <w:t>M1</w:t>
            </w:r>
          </w:p>
        </w:tc>
        <w:tc>
          <w:tcPr>
            <w:tcW w:type="dxa" w:w="893"/>
            <w:shd w:val="clear" w:color="auto" w:fill="1B3A4B"/>
          </w:tcPr>
          <w:p>
            <w:pPr>
              <w:jc w:val="center"/>
            </w:pPr>
            <w:r/>
            <w:r>
              <w:rPr>
                <w:b/>
                <w:color w:val="FFFFFF"/>
                <w:sz w:val="15"/>
              </w:rPr>
              <w:t>M2</w:t>
            </w:r>
          </w:p>
        </w:tc>
        <w:tc>
          <w:tcPr>
            <w:tcW w:type="dxa" w:w="893"/>
            <w:shd w:val="clear" w:color="auto" w:fill="1B3A4B"/>
          </w:tcPr>
          <w:p>
            <w:pPr>
              <w:jc w:val="center"/>
            </w:pPr>
            <w:r/>
            <w:r>
              <w:rPr>
                <w:b/>
                <w:color w:val="FFFFFF"/>
                <w:sz w:val="15"/>
              </w:rPr>
              <w:t>M3</w:t>
            </w:r>
          </w:p>
        </w:tc>
        <w:tc>
          <w:tcPr>
            <w:tcW w:type="dxa" w:w="893"/>
            <w:shd w:val="clear" w:color="auto" w:fill="1B3A4B"/>
          </w:tcPr>
          <w:p>
            <w:pPr>
              <w:jc w:val="center"/>
            </w:pPr>
            <w:r/>
            <w:r>
              <w:rPr>
                <w:b/>
                <w:color w:val="FFFFFF"/>
                <w:sz w:val="15"/>
              </w:rPr>
              <w:t>M4</w:t>
            </w:r>
          </w:p>
        </w:tc>
        <w:tc>
          <w:tcPr>
            <w:tcW w:type="dxa" w:w="893"/>
            <w:shd w:val="clear" w:color="auto" w:fill="1B3A4B"/>
          </w:tcPr>
          <w:p>
            <w:pPr>
              <w:jc w:val="center"/>
            </w:pPr>
            <w:r/>
            <w:r>
              <w:rPr>
                <w:b/>
                <w:color w:val="FFFFFF"/>
                <w:sz w:val="15"/>
              </w:rPr>
              <w:t>M5</w:t>
            </w:r>
          </w:p>
        </w:tc>
        <w:tc>
          <w:tcPr>
            <w:tcW w:type="dxa" w:w="893"/>
            <w:shd w:val="clear" w:color="auto" w:fill="1B3A4B"/>
          </w:tcPr>
          <w:p>
            <w:pPr>
              <w:jc w:val="center"/>
            </w:pPr>
            <w:r/>
            <w:r>
              <w:rPr>
                <w:b/>
                <w:color w:val="FFFFFF"/>
                <w:sz w:val="15"/>
              </w:rPr>
              <w:t>M6</w:t>
            </w:r>
          </w:p>
        </w:tc>
        <w:tc>
          <w:tcPr>
            <w:tcW w:type="dxa" w:w="893"/>
            <w:shd w:val="clear" w:color="auto" w:fill="1B3A4B"/>
          </w:tcPr>
          <w:p>
            <w:pPr>
              <w:jc w:val="center"/>
            </w:pPr>
            <w:r/>
            <w:r>
              <w:rPr>
                <w:b/>
                <w:color w:val="FFFFFF"/>
                <w:sz w:val="15"/>
              </w:rPr>
              <w:t>M7</w:t>
            </w:r>
          </w:p>
        </w:tc>
        <w:tc>
          <w:tcPr>
            <w:tcW w:type="dxa" w:w="893"/>
            <w:shd w:val="clear" w:color="auto" w:fill="1B3A4B"/>
          </w:tcPr>
          <w:p>
            <w:pPr>
              <w:jc w:val="center"/>
            </w:pPr>
            <w:r/>
            <w:r>
              <w:rPr>
                <w:b/>
                <w:color w:val="FFFFFF"/>
                <w:sz w:val="15"/>
              </w:rPr>
              <w:t>M8</w:t>
            </w:r>
          </w:p>
        </w:tc>
        <w:tc>
          <w:tcPr>
            <w:tcW w:type="dxa" w:w="893"/>
            <w:shd w:val="clear" w:color="auto" w:fill="1B3A4B"/>
          </w:tcPr>
          <w:p>
            <w:pPr>
              <w:jc w:val="center"/>
            </w:pPr>
            <w:r/>
            <w:r>
              <w:rPr>
                <w:b/>
                <w:color w:val="FFFFFF"/>
                <w:sz w:val="15"/>
              </w:rPr>
              <w:t>M9</w:t>
            </w:r>
          </w:p>
        </w:tc>
        <w:tc>
          <w:tcPr>
            <w:tcW w:type="dxa" w:w="893"/>
            <w:shd w:val="clear" w:color="auto" w:fill="1B3A4B"/>
          </w:tcPr>
          <w:p>
            <w:pPr>
              <w:jc w:val="center"/>
            </w:pPr>
            <w:r/>
            <w:r>
              <w:rPr>
                <w:b/>
                <w:color w:val="FFFFFF"/>
                <w:sz w:val="15"/>
              </w:rPr>
              <w:t>M10</w:t>
            </w:r>
          </w:p>
        </w:tc>
        <w:tc>
          <w:tcPr>
            <w:tcW w:type="dxa" w:w="893"/>
            <w:shd w:val="clear" w:color="auto" w:fill="1B3A4B"/>
          </w:tcPr>
          <w:p>
            <w:pPr>
              <w:jc w:val="center"/>
            </w:pPr>
            <w:r/>
            <w:r>
              <w:rPr>
                <w:b/>
                <w:color w:val="FFFFFF"/>
                <w:sz w:val="15"/>
              </w:rPr>
              <w:t>M11</w:t>
            </w:r>
          </w:p>
        </w:tc>
        <w:tc>
          <w:tcPr>
            <w:tcW w:type="dxa" w:w="893"/>
            <w:shd w:val="clear" w:color="auto" w:fill="1B3A4B"/>
          </w:tcPr>
          <w:p>
            <w:pPr>
              <w:jc w:val="center"/>
            </w:pPr>
            <w:r/>
            <w:r>
              <w:rPr>
                <w:b/>
                <w:color w:val="FFFFFF"/>
                <w:sz w:val="15"/>
              </w:rPr>
              <w:t>M12</w:t>
            </w:r>
          </w:p>
        </w:tc>
        <w:tc>
          <w:tcPr>
            <w:tcW w:type="dxa" w:w="1037"/>
            <w:shd w:val="clear" w:color="auto" w:fill="1B3A4B"/>
          </w:tcPr>
          <w:p>
            <w:pPr>
              <w:jc w:val="center"/>
            </w:pPr>
            <w:r/>
            <w:r>
              <w:rPr>
                <w:b/>
                <w:color w:val="FFFFFF"/>
                <w:sz w:val="15"/>
              </w:rPr>
              <w:t>Year 1</w:t>
            </w:r>
          </w:p>
        </w:tc>
      </w:tr>
      <w:tr>
        <w:tc>
          <w:tcPr>
            <w:tcW w:type="dxa" w:w="2088"/>
            <w:shd w:val="clear" w:color="auto" w:fill="EEF3F4"/>
          </w:tcPr>
          <w:p>
            <w:pPr>
              <w:jc w:val="left"/>
            </w:pPr>
            <w:r/>
            <w:r>
              <w:rPr>
                <w:b/>
                <w:color w:val="1B3A4B"/>
                <w:sz w:val="15"/>
              </w:rPr>
              <w:t>Membership (net)</w:t>
            </w:r>
          </w:p>
        </w:tc>
        <w:tc>
          <w:tcPr>
            <w:tcW w:type="dxa" w:w="893"/>
            <w:shd w:val="clear" w:color="auto" w:fill="EEF3F4"/>
          </w:tcPr>
          <w:p>
            <w:pPr>
              <w:jc w:val="center"/>
            </w:pPr>
            <w:r/>
            <w:r>
              <w:rPr>
                <w:b w:val="0"/>
                <w:sz w:val="15"/>
              </w:rPr>
              <w:t>525</w:t>
            </w:r>
          </w:p>
        </w:tc>
        <w:tc>
          <w:tcPr>
            <w:tcW w:type="dxa" w:w="893"/>
            <w:shd w:val="clear" w:color="auto" w:fill="EEF3F4"/>
          </w:tcPr>
          <w:p>
            <w:pPr>
              <w:jc w:val="center"/>
            </w:pPr>
            <w:r/>
            <w:r>
              <w:rPr>
                <w:b w:val="0"/>
                <w:sz w:val="15"/>
              </w:rPr>
              <w:t>712</w:t>
            </w:r>
          </w:p>
        </w:tc>
        <w:tc>
          <w:tcPr>
            <w:tcW w:type="dxa" w:w="893"/>
            <w:shd w:val="clear" w:color="auto" w:fill="EEF3F4"/>
          </w:tcPr>
          <w:p>
            <w:pPr>
              <w:jc w:val="center"/>
            </w:pPr>
            <w:r/>
            <w:r>
              <w:rPr>
                <w:b w:val="0"/>
                <w:sz w:val="15"/>
              </w:rPr>
              <w:t>900</w:t>
            </w:r>
          </w:p>
        </w:tc>
        <w:tc>
          <w:tcPr>
            <w:tcW w:type="dxa" w:w="893"/>
            <w:shd w:val="clear" w:color="auto" w:fill="EEF3F4"/>
          </w:tcPr>
          <w:p>
            <w:pPr>
              <w:jc w:val="center"/>
            </w:pPr>
            <w:r/>
            <w:r>
              <w:rPr>
                <w:b w:val="0"/>
                <w:sz w:val="15"/>
              </w:rPr>
              <w:t>1,125</w:t>
            </w:r>
          </w:p>
        </w:tc>
        <w:tc>
          <w:tcPr>
            <w:tcW w:type="dxa" w:w="893"/>
            <w:shd w:val="clear" w:color="auto" w:fill="EEF3F4"/>
          </w:tcPr>
          <w:p>
            <w:pPr>
              <w:jc w:val="center"/>
            </w:pPr>
            <w:r/>
            <w:r>
              <w:rPr>
                <w:b w:val="0"/>
                <w:sz w:val="15"/>
              </w:rPr>
              <w:t>1,350</w:t>
            </w:r>
          </w:p>
        </w:tc>
        <w:tc>
          <w:tcPr>
            <w:tcW w:type="dxa" w:w="893"/>
            <w:shd w:val="clear" w:color="auto" w:fill="EEF3F4"/>
          </w:tcPr>
          <w:p>
            <w:pPr>
              <w:jc w:val="center"/>
            </w:pPr>
            <w:r/>
            <w:r>
              <w:rPr>
                <w:b w:val="0"/>
                <w:sz w:val="15"/>
              </w:rPr>
              <w:t>1,575</w:t>
            </w:r>
          </w:p>
        </w:tc>
        <w:tc>
          <w:tcPr>
            <w:tcW w:type="dxa" w:w="893"/>
            <w:shd w:val="clear" w:color="auto" w:fill="EEF3F4"/>
          </w:tcPr>
          <w:p>
            <w:pPr>
              <w:jc w:val="center"/>
            </w:pPr>
            <w:r/>
            <w:r>
              <w:rPr>
                <w:b w:val="0"/>
                <w:sz w:val="15"/>
              </w:rPr>
              <w:t>1,762</w:t>
            </w:r>
          </w:p>
        </w:tc>
        <w:tc>
          <w:tcPr>
            <w:tcW w:type="dxa" w:w="893"/>
            <w:shd w:val="clear" w:color="auto" w:fill="EEF3F4"/>
          </w:tcPr>
          <w:p>
            <w:pPr>
              <w:jc w:val="center"/>
            </w:pPr>
            <w:r/>
            <w:r>
              <w:rPr>
                <w:b w:val="0"/>
                <w:sz w:val="15"/>
              </w:rPr>
              <w:t>1,950</w:t>
            </w:r>
          </w:p>
        </w:tc>
        <w:tc>
          <w:tcPr>
            <w:tcW w:type="dxa" w:w="893"/>
            <w:shd w:val="clear" w:color="auto" w:fill="EEF3F4"/>
          </w:tcPr>
          <w:p>
            <w:pPr>
              <w:jc w:val="center"/>
            </w:pPr>
            <w:r/>
            <w:r>
              <w:rPr>
                <w:b w:val="0"/>
                <w:sz w:val="15"/>
              </w:rPr>
              <w:t>2,138</w:t>
            </w:r>
          </w:p>
        </w:tc>
        <w:tc>
          <w:tcPr>
            <w:tcW w:type="dxa" w:w="893"/>
            <w:shd w:val="clear" w:color="auto" w:fill="EEF3F4"/>
          </w:tcPr>
          <w:p>
            <w:pPr>
              <w:jc w:val="center"/>
            </w:pPr>
            <w:r/>
            <w:r>
              <w:rPr>
                <w:b w:val="0"/>
                <w:sz w:val="15"/>
              </w:rPr>
              <w:t>2,325</w:t>
            </w:r>
          </w:p>
        </w:tc>
        <w:tc>
          <w:tcPr>
            <w:tcW w:type="dxa" w:w="893"/>
            <w:shd w:val="clear" w:color="auto" w:fill="EEF3F4"/>
          </w:tcPr>
          <w:p>
            <w:pPr>
              <w:jc w:val="center"/>
            </w:pPr>
            <w:r/>
            <w:r>
              <w:rPr>
                <w:b w:val="0"/>
                <w:sz w:val="15"/>
              </w:rPr>
              <w:t>2,475</w:t>
            </w:r>
          </w:p>
        </w:tc>
        <w:tc>
          <w:tcPr>
            <w:tcW w:type="dxa" w:w="893"/>
            <w:shd w:val="clear" w:color="auto" w:fill="EEF3F4"/>
          </w:tcPr>
          <w:p>
            <w:pPr>
              <w:jc w:val="center"/>
            </w:pPr>
            <w:r/>
            <w:r>
              <w:rPr>
                <w:b w:val="0"/>
                <w:sz w:val="15"/>
              </w:rPr>
              <w:t>2,625</w:t>
            </w:r>
          </w:p>
        </w:tc>
        <w:tc>
          <w:tcPr>
            <w:tcW w:type="dxa" w:w="1037"/>
            <w:shd w:val="clear" w:color="auto" w:fill="EEF3F4"/>
          </w:tcPr>
          <w:p>
            <w:pPr>
              <w:jc w:val="center"/>
            </w:pPr>
            <w:r/>
            <w:r>
              <w:rPr>
                <w:b w:val="0"/>
                <w:sz w:val="15"/>
              </w:rPr>
              <w:t>19,462</w:t>
            </w:r>
          </w:p>
        </w:tc>
      </w:tr>
      <w:tr>
        <w:tc>
          <w:tcPr>
            <w:tcW w:type="dxa" w:w="2088"/>
            <w:shd w:val="clear" w:color="auto" w:fill="FFFFFF"/>
          </w:tcPr>
          <w:p>
            <w:pPr>
              <w:jc w:val="left"/>
            </w:pPr>
            <w:r/>
            <w:r>
              <w:rPr>
                <w:b/>
                <w:color w:val="1B3A4B"/>
                <w:sz w:val="15"/>
              </w:rPr>
              <w:t>Events (net)</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500</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3,500</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300</w:t>
            </w:r>
          </w:p>
        </w:tc>
        <w:tc>
          <w:tcPr>
            <w:tcW w:type="dxa" w:w="893"/>
            <w:shd w:val="clear" w:color="auto" w:fill="FFFFFF"/>
          </w:tcPr>
          <w:p>
            <w:pPr>
              <w:jc w:val="center"/>
            </w:pPr>
            <w:r/>
            <w:r>
              <w:rPr>
                <w:b w:val="0"/>
                <w:sz w:val="15"/>
              </w:rPr>
              <w:t>4,500</w:t>
            </w:r>
          </w:p>
        </w:tc>
        <w:tc>
          <w:tcPr>
            <w:tcW w:type="dxa" w:w="893"/>
            <w:shd w:val="clear" w:color="auto" w:fill="FFFFFF"/>
          </w:tcPr>
          <w:p>
            <w:pPr>
              <w:jc w:val="center"/>
            </w:pPr>
            <w:r/>
            <w:r>
              <w:rPr>
                <w:b w:val="0"/>
                <w:sz w:val="15"/>
              </w:rPr>
              <w:t>—</w:t>
            </w:r>
          </w:p>
        </w:tc>
        <w:tc>
          <w:tcPr>
            <w:tcW w:type="dxa" w:w="893"/>
            <w:shd w:val="clear" w:color="auto" w:fill="FFFFFF"/>
          </w:tcPr>
          <w:p>
            <w:pPr>
              <w:jc w:val="center"/>
            </w:pPr>
            <w:r/>
            <w:r>
              <w:rPr>
                <w:b w:val="0"/>
                <w:sz w:val="15"/>
              </w:rPr>
              <w:t>—</w:t>
            </w:r>
          </w:p>
        </w:tc>
        <w:tc>
          <w:tcPr>
            <w:tcW w:type="dxa" w:w="1037"/>
            <w:shd w:val="clear" w:color="auto" w:fill="FFFFFF"/>
          </w:tcPr>
          <w:p>
            <w:pPr>
              <w:jc w:val="center"/>
            </w:pPr>
            <w:r/>
            <w:r>
              <w:rPr>
                <w:b w:val="0"/>
                <w:sz w:val="15"/>
              </w:rPr>
              <w:t>8,800</w:t>
            </w:r>
          </w:p>
        </w:tc>
      </w:tr>
      <w:tr>
        <w:tc>
          <w:tcPr>
            <w:tcW w:type="dxa" w:w="2088"/>
            <w:shd w:val="clear" w:color="auto" w:fill="EEF3F4"/>
          </w:tcPr>
          <w:p>
            <w:pPr>
              <w:jc w:val="left"/>
            </w:pPr>
            <w:r/>
            <w:r>
              <w:rPr>
                <w:b/>
                <w:color w:val="1B3A4B"/>
                <w:sz w:val="15"/>
              </w:rPr>
              <w:t>Products (net)</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1,300</w:t>
            </w:r>
          </w:p>
        </w:tc>
        <w:tc>
          <w:tcPr>
            <w:tcW w:type="dxa" w:w="893"/>
            <w:shd w:val="clear" w:color="auto" w:fill="EEF3F4"/>
          </w:tcPr>
          <w:p>
            <w:pPr>
              <w:jc w:val="center"/>
            </w:pPr>
            <w:r/>
            <w:r>
              <w:rPr>
                <w:b w:val="0"/>
                <w:sz w:val="15"/>
              </w:rPr>
              <w:t>1,400</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500</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w:t>
            </w:r>
          </w:p>
        </w:tc>
        <w:tc>
          <w:tcPr>
            <w:tcW w:type="dxa" w:w="893"/>
            <w:shd w:val="clear" w:color="auto" w:fill="EEF3F4"/>
          </w:tcPr>
          <w:p>
            <w:pPr>
              <w:jc w:val="center"/>
            </w:pPr>
            <w:r/>
            <w:r>
              <w:rPr>
                <w:b w:val="0"/>
                <w:sz w:val="15"/>
              </w:rPr>
              <w:t>1,600</w:t>
            </w:r>
          </w:p>
        </w:tc>
        <w:tc>
          <w:tcPr>
            <w:tcW w:type="dxa" w:w="893"/>
            <w:shd w:val="clear" w:color="auto" w:fill="EEF3F4"/>
          </w:tcPr>
          <w:p>
            <w:pPr>
              <w:jc w:val="center"/>
            </w:pPr>
            <w:r/>
            <w:r>
              <w:rPr>
                <w:b w:val="0"/>
                <w:sz w:val="15"/>
              </w:rPr>
              <w:t>500</w:t>
            </w:r>
          </w:p>
        </w:tc>
        <w:tc>
          <w:tcPr>
            <w:tcW w:type="dxa" w:w="1037"/>
            <w:shd w:val="clear" w:color="auto" w:fill="EEF3F4"/>
          </w:tcPr>
          <w:p>
            <w:pPr>
              <w:jc w:val="center"/>
            </w:pPr>
            <w:r/>
            <w:r>
              <w:rPr>
                <w:b w:val="0"/>
                <w:sz w:val="15"/>
              </w:rPr>
              <w:t>5,300</w:t>
            </w:r>
          </w:p>
        </w:tc>
      </w:tr>
      <w:tr>
        <w:tc>
          <w:tcPr>
            <w:tcW w:type="dxa" w:w="2088"/>
            <w:shd w:val="clear" w:color="auto" w:fill="FFFFFF"/>
          </w:tcPr>
          <w:p>
            <w:pPr>
              <w:jc w:val="left"/>
            </w:pPr>
            <w:r/>
            <w:r>
              <w:rPr>
                <w:b/>
                <w:color w:val="1B3A4B"/>
                <w:sz w:val="15"/>
              </w:rPr>
              <w:t>Total cash in</w:t>
            </w:r>
          </w:p>
        </w:tc>
        <w:tc>
          <w:tcPr>
            <w:tcW w:type="dxa" w:w="893"/>
            <w:shd w:val="clear" w:color="auto" w:fill="FFFFFF"/>
          </w:tcPr>
          <w:p>
            <w:pPr>
              <w:jc w:val="center"/>
            </w:pPr>
            <w:r/>
            <w:r>
              <w:rPr>
                <w:b w:val="0"/>
                <w:sz w:val="15"/>
              </w:rPr>
              <w:t>525</w:t>
            </w:r>
          </w:p>
        </w:tc>
        <w:tc>
          <w:tcPr>
            <w:tcW w:type="dxa" w:w="893"/>
            <w:shd w:val="clear" w:color="auto" w:fill="FFFFFF"/>
          </w:tcPr>
          <w:p>
            <w:pPr>
              <w:jc w:val="center"/>
            </w:pPr>
            <w:r/>
            <w:r>
              <w:rPr>
                <w:b w:val="0"/>
                <w:sz w:val="15"/>
              </w:rPr>
              <w:t>712</w:t>
            </w:r>
          </w:p>
        </w:tc>
        <w:tc>
          <w:tcPr>
            <w:tcW w:type="dxa" w:w="893"/>
            <w:shd w:val="clear" w:color="auto" w:fill="FFFFFF"/>
          </w:tcPr>
          <w:p>
            <w:pPr>
              <w:jc w:val="center"/>
            </w:pPr>
            <w:r/>
            <w:r>
              <w:rPr>
                <w:b w:val="0"/>
                <w:sz w:val="15"/>
              </w:rPr>
              <w:t>1,400</w:t>
            </w:r>
          </w:p>
        </w:tc>
        <w:tc>
          <w:tcPr>
            <w:tcW w:type="dxa" w:w="893"/>
            <w:shd w:val="clear" w:color="auto" w:fill="FFFFFF"/>
          </w:tcPr>
          <w:p>
            <w:pPr>
              <w:jc w:val="center"/>
            </w:pPr>
            <w:r/>
            <w:r>
              <w:rPr>
                <w:b w:val="0"/>
                <w:sz w:val="15"/>
              </w:rPr>
              <w:t>2,425</w:t>
            </w:r>
          </w:p>
        </w:tc>
        <w:tc>
          <w:tcPr>
            <w:tcW w:type="dxa" w:w="893"/>
            <w:shd w:val="clear" w:color="auto" w:fill="FFFFFF"/>
          </w:tcPr>
          <w:p>
            <w:pPr>
              <w:jc w:val="center"/>
            </w:pPr>
            <w:r/>
            <w:r>
              <w:rPr>
                <w:b w:val="0"/>
                <w:sz w:val="15"/>
              </w:rPr>
              <w:t>2,750</w:t>
            </w:r>
          </w:p>
        </w:tc>
        <w:tc>
          <w:tcPr>
            <w:tcW w:type="dxa" w:w="893"/>
            <w:shd w:val="clear" w:color="auto" w:fill="FFFFFF"/>
          </w:tcPr>
          <w:p>
            <w:pPr>
              <w:jc w:val="center"/>
            </w:pPr>
            <w:r/>
            <w:r>
              <w:rPr>
                <w:b w:val="0"/>
                <w:sz w:val="15"/>
              </w:rPr>
              <w:t>5,075</w:t>
            </w:r>
          </w:p>
        </w:tc>
        <w:tc>
          <w:tcPr>
            <w:tcW w:type="dxa" w:w="893"/>
            <w:shd w:val="clear" w:color="auto" w:fill="FFFFFF"/>
          </w:tcPr>
          <w:p>
            <w:pPr>
              <w:jc w:val="center"/>
            </w:pPr>
            <w:r/>
            <w:r>
              <w:rPr>
                <w:b w:val="0"/>
                <w:sz w:val="15"/>
              </w:rPr>
              <w:t>2,262</w:t>
            </w:r>
          </w:p>
        </w:tc>
        <w:tc>
          <w:tcPr>
            <w:tcW w:type="dxa" w:w="893"/>
            <w:shd w:val="clear" w:color="auto" w:fill="FFFFFF"/>
          </w:tcPr>
          <w:p>
            <w:pPr>
              <w:jc w:val="center"/>
            </w:pPr>
            <w:r/>
            <w:r>
              <w:rPr>
                <w:b w:val="0"/>
                <w:sz w:val="15"/>
              </w:rPr>
              <w:t>1,950</w:t>
            </w:r>
          </w:p>
        </w:tc>
        <w:tc>
          <w:tcPr>
            <w:tcW w:type="dxa" w:w="893"/>
            <w:shd w:val="clear" w:color="auto" w:fill="FFFFFF"/>
          </w:tcPr>
          <w:p>
            <w:pPr>
              <w:jc w:val="center"/>
            </w:pPr>
            <w:r/>
            <w:r>
              <w:rPr>
                <w:b w:val="0"/>
                <w:sz w:val="15"/>
              </w:rPr>
              <w:t>2,438</w:t>
            </w:r>
          </w:p>
        </w:tc>
        <w:tc>
          <w:tcPr>
            <w:tcW w:type="dxa" w:w="893"/>
            <w:shd w:val="clear" w:color="auto" w:fill="FFFFFF"/>
          </w:tcPr>
          <w:p>
            <w:pPr>
              <w:jc w:val="center"/>
            </w:pPr>
            <w:r/>
            <w:r>
              <w:rPr>
                <w:b w:val="0"/>
                <w:sz w:val="15"/>
              </w:rPr>
              <w:t>6,825</w:t>
            </w:r>
          </w:p>
        </w:tc>
        <w:tc>
          <w:tcPr>
            <w:tcW w:type="dxa" w:w="893"/>
            <w:shd w:val="clear" w:color="auto" w:fill="FFFFFF"/>
          </w:tcPr>
          <w:p>
            <w:pPr>
              <w:jc w:val="center"/>
            </w:pPr>
            <w:r/>
            <w:r>
              <w:rPr>
                <w:b w:val="0"/>
                <w:sz w:val="15"/>
              </w:rPr>
              <w:t>4,075</w:t>
            </w:r>
          </w:p>
        </w:tc>
        <w:tc>
          <w:tcPr>
            <w:tcW w:type="dxa" w:w="893"/>
            <w:shd w:val="clear" w:color="auto" w:fill="FFFFFF"/>
          </w:tcPr>
          <w:p>
            <w:pPr>
              <w:jc w:val="center"/>
            </w:pPr>
            <w:r/>
            <w:r>
              <w:rPr>
                <w:b w:val="0"/>
                <w:sz w:val="15"/>
              </w:rPr>
              <w:t>3,125</w:t>
            </w:r>
          </w:p>
        </w:tc>
        <w:tc>
          <w:tcPr>
            <w:tcW w:type="dxa" w:w="1037"/>
            <w:shd w:val="clear" w:color="auto" w:fill="FFFFFF"/>
          </w:tcPr>
          <w:p>
            <w:pPr>
              <w:jc w:val="center"/>
            </w:pPr>
            <w:r/>
            <w:r>
              <w:rPr>
                <w:b w:val="0"/>
                <w:sz w:val="15"/>
              </w:rPr>
              <w:t>33,562</w:t>
            </w:r>
          </w:p>
        </w:tc>
      </w:tr>
      <w:tr>
        <w:tc>
          <w:tcPr>
            <w:tcW w:type="dxa" w:w="2088"/>
            <w:shd w:val="clear" w:color="auto" w:fill="EEF3F4"/>
          </w:tcPr>
          <w:p>
            <w:pPr>
              <w:jc w:val="left"/>
            </w:pPr>
            <w:r/>
            <w:r>
              <w:rPr>
                <w:b/>
                <w:color w:val="1B3A4B"/>
                <w:sz w:val="15"/>
              </w:rPr>
              <w:t>Operating expenses</w:t>
            </w:r>
          </w:p>
        </w:tc>
        <w:tc>
          <w:tcPr>
            <w:tcW w:type="dxa" w:w="893"/>
            <w:shd w:val="clear" w:color="auto" w:fill="EEF3F4"/>
          </w:tcPr>
          <w:p>
            <w:pPr>
              <w:jc w:val="center"/>
            </w:pPr>
            <w:r/>
            <w:r>
              <w:rPr>
                <w:b w:val="0"/>
                <w:sz w:val="15"/>
              </w:rPr>
              <w:t>745</w:t>
            </w:r>
          </w:p>
        </w:tc>
        <w:tc>
          <w:tcPr>
            <w:tcW w:type="dxa" w:w="893"/>
            <w:shd w:val="clear" w:color="auto" w:fill="EEF3F4"/>
          </w:tcPr>
          <w:p>
            <w:pPr>
              <w:jc w:val="center"/>
            </w:pPr>
            <w:r/>
            <w:r>
              <w:rPr>
                <w:b w:val="0"/>
                <w:sz w:val="15"/>
              </w:rPr>
              <w:t>545</w:t>
            </w:r>
          </w:p>
        </w:tc>
        <w:tc>
          <w:tcPr>
            <w:tcW w:type="dxa" w:w="893"/>
            <w:shd w:val="clear" w:color="auto" w:fill="EEF3F4"/>
          </w:tcPr>
          <w:p>
            <w:pPr>
              <w:jc w:val="center"/>
            </w:pPr>
            <w:r/>
            <w:r>
              <w:rPr>
                <w:b w:val="0"/>
                <w:sz w:val="15"/>
              </w:rPr>
              <w:t>570</w:t>
            </w:r>
          </w:p>
        </w:tc>
        <w:tc>
          <w:tcPr>
            <w:tcW w:type="dxa" w:w="893"/>
            <w:shd w:val="clear" w:color="auto" w:fill="EEF3F4"/>
          </w:tcPr>
          <w:p>
            <w:pPr>
              <w:jc w:val="center"/>
            </w:pPr>
            <w:r/>
            <w:r>
              <w:rPr>
                <w:b w:val="0"/>
                <w:sz w:val="15"/>
              </w:rPr>
              <w:t>585</w:t>
            </w:r>
          </w:p>
        </w:tc>
        <w:tc>
          <w:tcPr>
            <w:tcW w:type="dxa" w:w="893"/>
            <w:shd w:val="clear" w:color="auto" w:fill="EEF3F4"/>
          </w:tcPr>
          <w:p>
            <w:pPr>
              <w:jc w:val="center"/>
            </w:pPr>
            <w:r/>
            <w:r>
              <w:rPr>
                <w:b w:val="0"/>
                <w:sz w:val="15"/>
              </w:rPr>
              <w:t>535</w:t>
            </w:r>
          </w:p>
        </w:tc>
        <w:tc>
          <w:tcPr>
            <w:tcW w:type="dxa" w:w="893"/>
            <w:shd w:val="clear" w:color="auto" w:fill="EEF3F4"/>
          </w:tcPr>
          <w:p>
            <w:pPr>
              <w:jc w:val="center"/>
            </w:pPr>
            <w:r/>
            <w:r>
              <w:rPr>
                <w:b w:val="0"/>
                <w:sz w:val="15"/>
              </w:rPr>
              <w:t>535</w:t>
            </w:r>
          </w:p>
        </w:tc>
        <w:tc>
          <w:tcPr>
            <w:tcW w:type="dxa" w:w="893"/>
            <w:shd w:val="clear" w:color="auto" w:fill="EEF3F4"/>
          </w:tcPr>
          <w:p>
            <w:pPr>
              <w:jc w:val="center"/>
            </w:pPr>
            <w:r/>
            <w:r>
              <w:rPr>
                <w:b w:val="0"/>
                <w:sz w:val="15"/>
              </w:rPr>
              <w:t>535</w:t>
            </w:r>
          </w:p>
        </w:tc>
        <w:tc>
          <w:tcPr>
            <w:tcW w:type="dxa" w:w="893"/>
            <w:shd w:val="clear" w:color="auto" w:fill="EEF3F4"/>
          </w:tcPr>
          <w:p>
            <w:pPr>
              <w:jc w:val="center"/>
            </w:pPr>
            <w:r/>
            <w:r>
              <w:rPr>
                <w:b w:val="0"/>
                <w:sz w:val="15"/>
              </w:rPr>
              <w:t>585</w:t>
            </w:r>
          </w:p>
        </w:tc>
        <w:tc>
          <w:tcPr>
            <w:tcW w:type="dxa" w:w="893"/>
            <w:shd w:val="clear" w:color="auto" w:fill="EEF3F4"/>
          </w:tcPr>
          <w:p>
            <w:pPr>
              <w:jc w:val="center"/>
            </w:pPr>
            <w:r/>
            <w:r>
              <w:rPr>
                <w:b w:val="0"/>
                <w:sz w:val="15"/>
              </w:rPr>
              <w:t>1,035</w:t>
            </w:r>
          </w:p>
        </w:tc>
        <w:tc>
          <w:tcPr>
            <w:tcW w:type="dxa" w:w="893"/>
            <w:shd w:val="clear" w:color="auto" w:fill="EEF3F4"/>
          </w:tcPr>
          <w:p>
            <w:pPr>
              <w:jc w:val="center"/>
            </w:pPr>
            <w:r/>
            <w:r>
              <w:rPr>
                <w:b w:val="0"/>
                <w:sz w:val="15"/>
              </w:rPr>
              <w:t>1,085</w:t>
            </w:r>
          </w:p>
        </w:tc>
        <w:tc>
          <w:tcPr>
            <w:tcW w:type="dxa" w:w="893"/>
            <w:shd w:val="clear" w:color="auto" w:fill="EEF3F4"/>
          </w:tcPr>
          <w:p>
            <w:pPr>
              <w:jc w:val="center"/>
            </w:pPr>
            <w:r/>
            <w:r>
              <w:rPr>
                <w:b w:val="0"/>
                <w:sz w:val="15"/>
              </w:rPr>
              <w:t>1,285</w:t>
            </w:r>
          </w:p>
        </w:tc>
        <w:tc>
          <w:tcPr>
            <w:tcW w:type="dxa" w:w="893"/>
            <w:shd w:val="clear" w:color="auto" w:fill="EEF3F4"/>
          </w:tcPr>
          <w:p>
            <w:pPr>
              <w:jc w:val="center"/>
            </w:pPr>
            <w:r/>
            <w:r>
              <w:rPr>
                <w:b w:val="0"/>
                <w:sz w:val="15"/>
              </w:rPr>
              <w:t>1,285</w:t>
            </w:r>
          </w:p>
        </w:tc>
        <w:tc>
          <w:tcPr>
            <w:tcW w:type="dxa" w:w="1037"/>
            <w:shd w:val="clear" w:color="auto" w:fill="EEF3F4"/>
          </w:tcPr>
          <w:p>
            <w:pPr>
              <w:jc w:val="center"/>
            </w:pPr>
            <w:r/>
            <w:r>
              <w:rPr>
                <w:b w:val="0"/>
                <w:sz w:val="15"/>
              </w:rPr>
              <w:t>9,325</w:t>
            </w:r>
          </w:p>
        </w:tc>
      </w:tr>
      <w:tr>
        <w:tc>
          <w:tcPr>
            <w:tcW w:type="dxa" w:w="2088"/>
            <w:shd w:val="clear" w:color="auto" w:fill="FFFFFF"/>
          </w:tcPr>
          <w:p>
            <w:pPr>
              <w:jc w:val="left"/>
            </w:pPr>
            <w:r/>
            <w:r>
              <w:rPr>
                <w:b/>
                <w:color w:val="1B3A4B"/>
                <w:sz w:val="15"/>
              </w:rPr>
              <w:t>Net cash flow</w:t>
            </w:r>
          </w:p>
        </w:tc>
        <w:tc>
          <w:tcPr>
            <w:tcW w:type="dxa" w:w="893"/>
            <w:shd w:val="clear" w:color="auto" w:fill="FFFFFF"/>
          </w:tcPr>
          <w:p>
            <w:pPr>
              <w:jc w:val="center"/>
            </w:pPr>
            <w:r/>
            <w:r>
              <w:rPr>
                <w:b w:val="0"/>
                <w:sz w:val="15"/>
              </w:rPr>
              <w:t>-220</w:t>
            </w:r>
          </w:p>
        </w:tc>
        <w:tc>
          <w:tcPr>
            <w:tcW w:type="dxa" w:w="893"/>
            <w:shd w:val="clear" w:color="auto" w:fill="FFFFFF"/>
          </w:tcPr>
          <w:p>
            <w:pPr>
              <w:jc w:val="center"/>
            </w:pPr>
            <w:r/>
            <w:r>
              <w:rPr>
                <w:b w:val="0"/>
                <w:sz w:val="15"/>
              </w:rPr>
              <w:t>167</w:t>
            </w:r>
          </w:p>
        </w:tc>
        <w:tc>
          <w:tcPr>
            <w:tcW w:type="dxa" w:w="893"/>
            <w:shd w:val="clear" w:color="auto" w:fill="FFFFFF"/>
          </w:tcPr>
          <w:p>
            <w:pPr>
              <w:jc w:val="center"/>
            </w:pPr>
            <w:r/>
            <w:r>
              <w:rPr>
                <w:b w:val="0"/>
                <w:sz w:val="15"/>
              </w:rPr>
              <w:t>830</w:t>
            </w:r>
          </w:p>
        </w:tc>
        <w:tc>
          <w:tcPr>
            <w:tcW w:type="dxa" w:w="893"/>
            <w:shd w:val="clear" w:color="auto" w:fill="FFFFFF"/>
          </w:tcPr>
          <w:p>
            <w:pPr>
              <w:jc w:val="center"/>
            </w:pPr>
            <w:r/>
            <w:r>
              <w:rPr>
                <w:b w:val="0"/>
                <w:sz w:val="15"/>
              </w:rPr>
              <w:t>1,840</w:t>
            </w:r>
          </w:p>
        </w:tc>
        <w:tc>
          <w:tcPr>
            <w:tcW w:type="dxa" w:w="893"/>
            <w:shd w:val="clear" w:color="auto" w:fill="FFFFFF"/>
          </w:tcPr>
          <w:p>
            <w:pPr>
              <w:jc w:val="center"/>
            </w:pPr>
            <w:r/>
            <w:r>
              <w:rPr>
                <w:b w:val="0"/>
                <w:sz w:val="15"/>
              </w:rPr>
              <w:t>2,215</w:t>
            </w:r>
          </w:p>
        </w:tc>
        <w:tc>
          <w:tcPr>
            <w:tcW w:type="dxa" w:w="893"/>
            <w:shd w:val="clear" w:color="auto" w:fill="FFFFFF"/>
          </w:tcPr>
          <w:p>
            <w:pPr>
              <w:jc w:val="center"/>
            </w:pPr>
            <w:r/>
            <w:r>
              <w:rPr>
                <w:b w:val="0"/>
                <w:sz w:val="15"/>
              </w:rPr>
              <w:t>4,540</w:t>
            </w:r>
          </w:p>
        </w:tc>
        <w:tc>
          <w:tcPr>
            <w:tcW w:type="dxa" w:w="893"/>
            <w:shd w:val="clear" w:color="auto" w:fill="FFFFFF"/>
          </w:tcPr>
          <w:p>
            <w:pPr>
              <w:jc w:val="center"/>
            </w:pPr>
            <w:r/>
            <w:r>
              <w:rPr>
                <w:b w:val="0"/>
                <w:sz w:val="15"/>
              </w:rPr>
              <w:t>1,727</w:t>
            </w:r>
          </w:p>
        </w:tc>
        <w:tc>
          <w:tcPr>
            <w:tcW w:type="dxa" w:w="893"/>
            <w:shd w:val="clear" w:color="auto" w:fill="FFFFFF"/>
          </w:tcPr>
          <w:p>
            <w:pPr>
              <w:jc w:val="center"/>
            </w:pPr>
            <w:r/>
            <w:r>
              <w:rPr>
                <w:b w:val="0"/>
                <w:sz w:val="15"/>
              </w:rPr>
              <w:t>1,365</w:t>
            </w:r>
          </w:p>
        </w:tc>
        <w:tc>
          <w:tcPr>
            <w:tcW w:type="dxa" w:w="893"/>
            <w:shd w:val="clear" w:color="auto" w:fill="FFFFFF"/>
          </w:tcPr>
          <w:p>
            <w:pPr>
              <w:jc w:val="center"/>
            </w:pPr>
            <w:r/>
            <w:r>
              <w:rPr>
                <w:b w:val="0"/>
                <w:sz w:val="15"/>
              </w:rPr>
              <w:t>1,403</w:t>
            </w:r>
          </w:p>
        </w:tc>
        <w:tc>
          <w:tcPr>
            <w:tcW w:type="dxa" w:w="893"/>
            <w:shd w:val="clear" w:color="auto" w:fill="FFFFFF"/>
          </w:tcPr>
          <w:p>
            <w:pPr>
              <w:jc w:val="center"/>
            </w:pPr>
            <w:r/>
            <w:r>
              <w:rPr>
                <w:b w:val="0"/>
                <w:sz w:val="15"/>
              </w:rPr>
              <w:t>5,740</w:t>
            </w:r>
          </w:p>
        </w:tc>
        <w:tc>
          <w:tcPr>
            <w:tcW w:type="dxa" w:w="893"/>
            <w:shd w:val="clear" w:color="auto" w:fill="FFFFFF"/>
          </w:tcPr>
          <w:p>
            <w:pPr>
              <w:jc w:val="center"/>
            </w:pPr>
            <w:r/>
            <w:r>
              <w:rPr>
                <w:b w:val="0"/>
                <w:sz w:val="15"/>
              </w:rPr>
              <w:t>2,790</w:t>
            </w:r>
          </w:p>
        </w:tc>
        <w:tc>
          <w:tcPr>
            <w:tcW w:type="dxa" w:w="893"/>
            <w:shd w:val="clear" w:color="auto" w:fill="FFFFFF"/>
          </w:tcPr>
          <w:p>
            <w:pPr>
              <w:jc w:val="center"/>
            </w:pPr>
            <w:r/>
            <w:r>
              <w:rPr>
                <w:b w:val="0"/>
                <w:sz w:val="15"/>
              </w:rPr>
              <w:t>1,840</w:t>
            </w:r>
          </w:p>
        </w:tc>
        <w:tc>
          <w:tcPr>
            <w:tcW w:type="dxa" w:w="1037"/>
            <w:shd w:val="clear" w:color="auto" w:fill="FFFFFF"/>
          </w:tcPr>
          <w:p>
            <w:pPr>
              <w:jc w:val="center"/>
            </w:pPr>
            <w:r/>
            <w:r>
              <w:rPr>
                <w:b w:val="0"/>
                <w:sz w:val="15"/>
              </w:rPr>
              <w:t>24,237</w:t>
            </w:r>
          </w:p>
        </w:tc>
      </w:tr>
      <w:tr>
        <w:tc>
          <w:tcPr>
            <w:tcW w:type="dxa" w:w="2088"/>
            <w:shd w:val="clear" w:color="auto" w:fill="EEF3F4"/>
          </w:tcPr>
          <w:p>
            <w:pPr>
              <w:jc w:val="left"/>
            </w:pPr>
            <w:r/>
            <w:r>
              <w:rPr>
                <w:b/>
                <w:color w:val="1B3A4B"/>
                <w:sz w:val="15"/>
              </w:rPr>
              <w:t>Cumulative cash</w:t>
            </w:r>
          </w:p>
        </w:tc>
        <w:tc>
          <w:tcPr>
            <w:tcW w:type="dxa" w:w="893"/>
            <w:shd w:val="clear" w:color="auto" w:fill="EEF3F4"/>
          </w:tcPr>
          <w:p>
            <w:pPr>
              <w:jc w:val="center"/>
            </w:pPr>
            <w:r/>
            <w:r>
              <w:rPr>
                <w:b w:val="0"/>
                <w:sz w:val="15"/>
              </w:rPr>
              <w:t>2,280</w:t>
            </w:r>
          </w:p>
        </w:tc>
        <w:tc>
          <w:tcPr>
            <w:tcW w:type="dxa" w:w="893"/>
            <w:shd w:val="clear" w:color="auto" w:fill="EEF3F4"/>
          </w:tcPr>
          <w:p>
            <w:pPr>
              <w:jc w:val="center"/>
            </w:pPr>
            <w:r/>
            <w:r>
              <w:rPr>
                <w:b w:val="0"/>
                <w:sz w:val="15"/>
              </w:rPr>
              <w:t>2,447</w:t>
            </w:r>
          </w:p>
        </w:tc>
        <w:tc>
          <w:tcPr>
            <w:tcW w:type="dxa" w:w="893"/>
            <w:shd w:val="clear" w:color="auto" w:fill="EEF3F4"/>
          </w:tcPr>
          <w:p>
            <w:pPr>
              <w:jc w:val="center"/>
            </w:pPr>
            <w:r/>
            <w:r>
              <w:rPr>
                <w:b w:val="0"/>
                <w:sz w:val="15"/>
              </w:rPr>
              <w:t>3,277</w:t>
            </w:r>
          </w:p>
        </w:tc>
        <w:tc>
          <w:tcPr>
            <w:tcW w:type="dxa" w:w="893"/>
            <w:shd w:val="clear" w:color="auto" w:fill="EEF3F4"/>
          </w:tcPr>
          <w:p>
            <w:pPr>
              <w:jc w:val="center"/>
            </w:pPr>
            <w:r/>
            <w:r>
              <w:rPr>
                <w:b w:val="0"/>
                <w:sz w:val="15"/>
              </w:rPr>
              <w:t>5,117</w:t>
            </w:r>
          </w:p>
        </w:tc>
        <w:tc>
          <w:tcPr>
            <w:tcW w:type="dxa" w:w="893"/>
            <w:shd w:val="clear" w:color="auto" w:fill="EEF3F4"/>
          </w:tcPr>
          <w:p>
            <w:pPr>
              <w:jc w:val="center"/>
            </w:pPr>
            <w:r/>
            <w:r>
              <w:rPr>
                <w:b w:val="0"/>
                <w:sz w:val="15"/>
              </w:rPr>
              <w:t>7,332</w:t>
            </w:r>
          </w:p>
        </w:tc>
        <w:tc>
          <w:tcPr>
            <w:tcW w:type="dxa" w:w="893"/>
            <w:shd w:val="clear" w:color="auto" w:fill="EEF3F4"/>
          </w:tcPr>
          <w:p>
            <w:pPr>
              <w:jc w:val="center"/>
            </w:pPr>
            <w:r/>
            <w:r>
              <w:rPr>
                <w:b w:val="0"/>
                <w:sz w:val="15"/>
              </w:rPr>
              <w:t>11,872</w:t>
            </w:r>
          </w:p>
        </w:tc>
        <w:tc>
          <w:tcPr>
            <w:tcW w:type="dxa" w:w="893"/>
            <w:shd w:val="clear" w:color="auto" w:fill="EEF3F4"/>
          </w:tcPr>
          <w:p>
            <w:pPr>
              <w:jc w:val="center"/>
            </w:pPr>
            <w:r/>
            <w:r>
              <w:rPr>
                <w:b w:val="0"/>
                <w:sz w:val="15"/>
              </w:rPr>
              <w:t>13,599</w:t>
            </w:r>
          </w:p>
        </w:tc>
        <w:tc>
          <w:tcPr>
            <w:tcW w:type="dxa" w:w="893"/>
            <w:shd w:val="clear" w:color="auto" w:fill="EEF3F4"/>
          </w:tcPr>
          <w:p>
            <w:pPr>
              <w:jc w:val="center"/>
            </w:pPr>
            <w:r/>
            <w:r>
              <w:rPr>
                <w:b w:val="0"/>
                <w:sz w:val="15"/>
              </w:rPr>
              <w:t>14,964</w:t>
            </w:r>
          </w:p>
        </w:tc>
        <w:tc>
          <w:tcPr>
            <w:tcW w:type="dxa" w:w="893"/>
            <w:shd w:val="clear" w:color="auto" w:fill="EEF3F4"/>
          </w:tcPr>
          <w:p>
            <w:pPr>
              <w:jc w:val="center"/>
            </w:pPr>
            <w:r/>
            <w:r>
              <w:rPr>
                <w:b w:val="0"/>
                <w:sz w:val="15"/>
              </w:rPr>
              <w:t>16,367</w:t>
            </w:r>
          </w:p>
        </w:tc>
        <w:tc>
          <w:tcPr>
            <w:tcW w:type="dxa" w:w="893"/>
            <w:shd w:val="clear" w:color="auto" w:fill="EEF3F4"/>
          </w:tcPr>
          <w:p>
            <w:pPr>
              <w:jc w:val="center"/>
            </w:pPr>
            <w:r/>
            <w:r>
              <w:rPr>
                <w:b w:val="0"/>
                <w:sz w:val="15"/>
              </w:rPr>
              <w:t>22,107</w:t>
            </w:r>
          </w:p>
        </w:tc>
        <w:tc>
          <w:tcPr>
            <w:tcW w:type="dxa" w:w="893"/>
            <w:shd w:val="clear" w:color="auto" w:fill="EEF3F4"/>
          </w:tcPr>
          <w:p>
            <w:pPr>
              <w:jc w:val="center"/>
            </w:pPr>
            <w:r/>
            <w:r>
              <w:rPr>
                <w:b w:val="0"/>
                <w:sz w:val="15"/>
              </w:rPr>
              <w:t>24,897</w:t>
            </w:r>
          </w:p>
        </w:tc>
        <w:tc>
          <w:tcPr>
            <w:tcW w:type="dxa" w:w="893"/>
            <w:shd w:val="clear" w:color="auto" w:fill="EEF3F4"/>
          </w:tcPr>
          <w:p>
            <w:pPr>
              <w:jc w:val="center"/>
            </w:pPr>
            <w:r/>
            <w:r>
              <w:rPr>
                <w:b w:val="0"/>
                <w:sz w:val="15"/>
              </w:rPr>
              <w:t>26,737</w:t>
            </w:r>
          </w:p>
        </w:tc>
        <w:tc>
          <w:tcPr>
            <w:tcW w:type="dxa" w:w="1037"/>
            <w:shd w:val="clear" w:color="auto" w:fill="EEF3F4"/>
          </w:tcPr>
          <w:p>
            <w:pPr>
              <w:jc w:val="center"/>
            </w:pPr>
            <w:r/>
            <w:r>
              <w:rPr>
                <w:b w:val="0"/>
                <w:sz w:val="15"/>
              </w:rPr>
              <w:t>26,737</w:t>
            </w:r>
          </w:p>
        </w:tc>
      </w:tr>
    </w:tbl>
    <w:p>
      <w:pPr>
        <w:spacing w:after="40"/>
      </w:pPr>
    </w:p>
    <w:p>
      <w:pPr>
        <w:spacing w:after="200"/>
        <w:jc w:val="left"/>
      </w:pPr>
      <w:r>
        <w:rPr>
          <w:i/>
          <w:color w:val="6B7B85"/>
          <w:sz w:val="17"/>
        </w:rPr>
        <w:t>Table A1. Year-1 monthly cash flow. Opening balance $2,500 (startup capital net of pre-launch spend). Founder draw assumed $0 in Year 1.</w:t>
      </w:r>
    </w:p>
    <w:p>
      <w:pPr>
        <w:spacing w:before="200" w:after="80"/>
      </w:pPr>
      <w:r>
        <w:rPr>
          <w:b/>
          <w:color w:val="2A9D8F"/>
          <w:sz w:val="27"/>
        </w:rPr>
        <w:t>1.2 Audience build (end of month)</w:t>
      </w:r>
    </w:p>
    <w:tbl>
      <w:tblPr>
        <w:tblStyle w:val="TableGrid"/>
        <w:tblW w:type="auto" w:w="0"/>
        <w:jc w:val="center"/>
        <w:tblLook w:firstColumn="1" w:firstRow="1" w:lastColumn="0" w:lastRow="0" w:noHBand="0" w:noVBand="1" w:val="04A0"/>
      </w:tblPr>
      <w:tblGrid>
        <w:gridCol w:w="1041"/>
        <w:gridCol w:w="1041"/>
        <w:gridCol w:w="1041"/>
        <w:gridCol w:w="1041"/>
        <w:gridCol w:w="1041"/>
        <w:gridCol w:w="1041"/>
        <w:gridCol w:w="1041"/>
        <w:gridCol w:w="1041"/>
        <w:gridCol w:w="1041"/>
        <w:gridCol w:w="1041"/>
        <w:gridCol w:w="1041"/>
        <w:gridCol w:w="1041"/>
        <w:gridCol w:w="1041"/>
      </w:tblGrid>
      <w:tr>
        <w:tc>
          <w:tcPr>
            <w:tcW w:type="dxa" w:w="2304"/>
            <w:shd w:val="clear" w:color="auto" w:fill="1B3A4B"/>
          </w:tcPr>
          <w:p>
            <w:pPr>
              <w:jc w:val="left"/>
            </w:pPr>
            <w:r/>
            <w:r>
              <w:rPr>
                <w:b/>
                <w:color w:val="FFFFFF"/>
                <w:sz w:val="16"/>
              </w:rPr>
              <w:t>End-of-month</w:t>
            </w:r>
          </w:p>
        </w:tc>
        <w:tc>
          <w:tcPr>
            <w:tcW w:type="dxa" w:w="1037"/>
            <w:shd w:val="clear" w:color="auto" w:fill="1B3A4B"/>
          </w:tcPr>
          <w:p>
            <w:pPr>
              <w:jc w:val="center"/>
            </w:pPr>
            <w:r/>
            <w:r>
              <w:rPr>
                <w:b/>
                <w:color w:val="FFFFFF"/>
                <w:sz w:val="16"/>
              </w:rPr>
              <w:t>M1</w:t>
            </w:r>
          </w:p>
        </w:tc>
        <w:tc>
          <w:tcPr>
            <w:tcW w:type="dxa" w:w="1037"/>
            <w:shd w:val="clear" w:color="auto" w:fill="1B3A4B"/>
          </w:tcPr>
          <w:p>
            <w:pPr>
              <w:jc w:val="center"/>
            </w:pPr>
            <w:r/>
            <w:r>
              <w:rPr>
                <w:b/>
                <w:color w:val="FFFFFF"/>
                <w:sz w:val="16"/>
              </w:rPr>
              <w:t>M2</w:t>
            </w:r>
          </w:p>
        </w:tc>
        <w:tc>
          <w:tcPr>
            <w:tcW w:type="dxa" w:w="1037"/>
            <w:shd w:val="clear" w:color="auto" w:fill="1B3A4B"/>
          </w:tcPr>
          <w:p>
            <w:pPr>
              <w:jc w:val="center"/>
            </w:pPr>
            <w:r/>
            <w:r>
              <w:rPr>
                <w:b/>
                <w:color w:val="FFFFFF"/>
                <w:sz w:val="16"/>
              </w:rPr>
              <w:t>M3</w:t>
            </w:r>
          </w:p>
        </w:tc>
        <w:tc>
          <w:tcPr>
            <w:tcW w:type="dxa" w:w="1037"/>
            <w:shd w:val="clear" w:color="auto" w:fill="1B3A4B"/>
          </w:tcPr>
          <w:p>
            <w:pPr>
              <w:jc w:val="center"/>
            </w:pPr>
            <w:r/>
            <w:r>
              <w:rPr>
                <w:b/>
                <w:color w:val="FFFFFF"/>
                <w:sz w:val="16"/>
              </w:rPr>
              <w:t>M4</w:t>
            </w:r>
          </w:p>
        </w:tc>
        <w:tc>
          <w:tcPr>
            <w:tcW w:type="dxa" w:w="1037"/>
            <w:shd w:val="clear" w:color="auto" w:fill="1B3A4B"/>
          </w:tcPr>
          <w:p>
            <w:pPr>
              <w:jc w:val="center"/>
            </w:pPr>
            <w:r/>
            <w:r>
              <w:rPr>
                <w:b/>
                <w:color w:val="FFFFFF"/>
                <w:sz w:val="16"/>
              </w:rPr>
              <w:t>M5</w:t>
            </w:r>
          </w:p>
        </w:tc>
        <w:tc>
          <w:tcPr>
            <w:tcW w:type="dxa" w:w="1037"/>
            <w:shd w:val="clear" w:color="auto" w:fill="1B3A4B"/>
          </w:tcPr>
          <w:p>
            <w:pPr>
              <w:jc w:val="center"/>
            </w:pPr>
            <w:r/>
            <w:r>
              <w:rPr>
                <w:b/>
                <w:color w:val="FFFFFF"/>
                <w:sz w:val="16"/>
              </w:rPr>
              <w:t>M6</w:t>
            </w:r>
          </w:p>
        </w:tc>
        <w:tc>
          <w:tcPr>
            <w:tcW w:type="dxa" w:w="1037"/>
            <w:shd w:val="clear" w:color="auto" w:fill="1B3A4B"/>
          </w:tcPr>
          <w:p>
            <w:pPr>
              <w:jc w:val="center"/>
            </w:pPr>
            <w:r/>
            <w:r>
              <w:rPr>
                <w:b/>
                <w:color w:val="FFFFFF"/>
                <w:sz w:val="16"/>
              </w:rPr>
              <w:t>M7</w:t>
            </w:r>
          </w:p>
        </w:tc>
        <w:tc>
          <w:tcPr>
            <w:tcW w:type="dxa" w:w="1037"/>
            <w:shd w:val="clear" w:color="auto" w:fill="1B3A4B"/>
          </w:tcPr>
          <w:p>
            <w:pPr>
              <w:jc w:val="center"/>
            </w:pPr>
            <w:r/>
            <w:r>
              <w:rPr>
                <w:b/>
                <w:color w:val="FFFFFF"/>
                <w:sz w:val="16"/>
              </w:rPr>
              <w:t>M8</w:t>
            </w:r>
          </w:p>
        </w:tc>
        <w:tc>
          <w:tcPr>
            <w:tcW w:type="dxa" w:w="1037"/>
            <w:shd w:val="clear" w:color="auto" w:fill="1B3A4B"/>
          </w:tcPr>
          <w:p>
            <w:pPr>
              <w:jc w:val="center"/>
            </w:pPr>
            <w:r/>
            <w:r>
              <w:rPr>
                <w:b/>
                <w:color w:val="FFFFFF"/>
                <w:sz w:val="16"/>
              </w:rPr>
              <w:t>M9</w:t>
            </w:r>
          </w:p>
        </w:tc>
        <w:tc>
          <w:tcPr>
            <w:tcW w:type="dxa" w:w="1037"/>
            <w:shd w:val="clear" w:color="auto" w:fill="1B3A4B"/>
          </w:tcPr>
          <w:p>
            <w:pPr>
              <w:jc w:val="center"/>
            </w:pPr>
            <w:r/>
            <w:r>
              <w:rPr>
                <w:b/>
                <w:color w:val="FFFFFF"/>
                <w:sz w:val="16"/>
              </w:rPr>
              <w:t>M10</w:t>
            </w:r>
          </w:p>
        </w:tc>
        <w:tc>
          <w:tcPr>
            <w:tcW w:type="dxa" w:w="1037"/>
            <w:shd w:val="clear" w:color="auto" w:fill="1B3A4B"/>
          </w:tcPr>
          <w:p>
            <w:pPr>
              <w:jc w:val="center"/>
            </w:pPr>
            <w:r/>
            <w:r>
              <w:rPr>
                <w:b/>
                <w:color w:val="FFFFFF"/>
                <w:sz w:val="16"/>
              </w:rPr>
              <w:t>M11</w:t>
            </w:r>
          </w:p>
        </w:tc>
        <w:tc>
          <w:tcPr>
            <w:tcW w:type="dxa" w:w="1037"/>
            <w:shd w:val="clear" w:color="auto" w:fill="1B3A4B"/>
          </w:tcPr>
          <w:p>
            <w:pPr>
              <w:jc w:val="center"/>
            </w:pPr>
            <w:r/>
            <w:r>
              <w:rPr>
                <w:b/>
                <w:color w:val="FFFFFF"/>
                <w:sz w:val="16"/>
              </w:rPr>
              <w:t>M12</w:t>
            </w:r>
          </w:p>
        </w:tc>
      </w:tr>
      <w:tr>
        <w:tc>
          <w:tcPr>
            <w:tcW w:type="dxa" w:w="2304"/>
            <w:shd w:val="clear" w:color="auto" w:fill="EEF3F4"/>
          </w:tcPr>
          <w:p>
            <w:pPr>
              <w:jc w:val="left"/>
            </w:pPr>
            <w:r/>
            <w:r>
              <w:rPr>
                <w:b/>
                <w:color w:val="1B3A4B"/>
                <w:sz w:val="16"/>
              </w:rPr>
              <w:t>Free subscribers</w:t>
            </w:r>
          </w:p>
        </w:tc>
        <w:tc>
          <w:tcPr>
            <w:tcW w:type="dxa" w:w="1037"/>
            <w:shd w:val="clear" w:color="auto" w:fill="EEF3F4"/>
          </w:tcPr>
          <w:p>
            <w:pPr>
              <w:jc w:val="center"/>
            </w:pPr>
            <w:r/>
            <w:r>
              <w:rPr>
                <w:b w:val="0"/>
                <w:sz w:val="16"/>
              </w:rPr>
              <w:t>900</w:t>
            </w:r>
          </w:p>
        </w:tc>
        <w:tc>
          <w:tcPr>
            <w:tcW w:type="dxa" w:w="1037"/>
            <w:shd w:val="clear" w:color="auto" w:fill="EEF3F4"/>
          </w:tcPr>
          <w:p>
            <w:pPr>
              <w:jc w:val="center"/>
            </w:pPr>
            <w:r/>
            <w:r>
              <w:rPr>
                <w:b w:val="0"/>
                <w:sz w:val="16"/>
              </w:rPr>
              <w:t>1,500</w:t>
            </w:r>
          </w:p>
        </w:tc>
        <w:tc>
          <w:tcPr>
            <w:tcW w:type="dxa" w:w="1037"/>
            <w:shd w:val="clear" w:color="auto" w:fill="EEF3F4"/>
          </w:tcPr>
          <w:p>
            <w:pPr>
              <w:jc w:val="center"/>
            </w:pPr>
            <w:r/>
            <w:r>
              <w:rPr>
                <w:b w:val="0"/>
                <w:sz w:val="16"/>
              </w:rPr>
              <w:t>2,100</w:t>
            </w:r>
          </w:p>
        </w:tc>
        <w:tc>
          <w:tcPr>
            <w:tcW w:type="dxa" w:w="1037"/>
            <w:shd w:val="clear" w:color="auto" w:fill="EEF3F4"/>
          </w:tcPr>
          <w:p>
            <w:pPr>
              <w:jc w:val="center"/>
            </w:pPr>
            <w:r/>
            <w:r>
              <w:rPr>
                <w:b w:val="0"/>
                <w:sz w:val="16"/>
              </w:rPr>
              <w:t>2,800</w:t>
            </w:r>
          </w:p>
        </w:tc>
        <w:tc>
          <w:tcPr>
            <w:tcW w:type="dxa" w:w="1037"/>
            <w:shd w:val="clear" w:color="auto" w:fill="EEF3F4"/>
          </w:tcPr>
          <w:p>
            <w:pPr>
              <w:jc w:val="center"/>
            </w:pPr>
            <w:r/>
            <w:r>
              <w:rPr>
                <w:b w:val="0"/>
                <w:sz w:val="16"/>
              </w:rPr>
              <w:t>3,500</w:t>
            </w:r>
          </w:p>
        </w:tc>
        <w:tc>
          <w:tcPr>
            <w:tcW w:type="dxa" w:w="1037"/>
            <w:shd w:val="clear" w:color="auto" w:fill="EEF3F4"/>
          </w:tcPr>
          <w:p>
            <w:pPr>
              <w:jc w:val="center"/>
            </w:pPr>
            <w:r/>
            <w:r>
              <w:rPr>
                <w:b w:val="0"/>
                <w:sz w:val="16"/>
              </w:rPr>
              <w:t>4,200</w:t>
            </w:r>
          </w:p>
        </w:tc>
        <w:tc>
          <w:tcPr>
            <w:tcW w:type="dxa" w:w="1037"/>
            <w:shd w:val="clear" w:color="auto" w:fill="EEF3F4"/>
          </w:tcPr>
          <w:p>
            <w:pPr>
              <w:jc w:val="center"/>
            </w:pPr>
            <w:r/>
            <w:r>
              <w:rPr>
                <w:b w:val="0"/>
                <w:sz w:val="16"/>
              </w:rPr>
              <w:t>4,800</w:t>
            </w:r>
          </w:p>
        </w:tc>
        <w:tc>
          <w:tcPr>
            <w:tcW w:type="dxa" w:w="1037"/>
            <w:shd w:val="clear" w:color="auto" w:fill="EEF3F4"/>
          </w:tcPr>
          <w:p>
            <w:pPr>
              <w:jc w:val="center"/>
            </w:pPr>
            <w:r/>
            <w:r>
              <w:rPr>
                <w:b w:val="0"/>
                <w:sz w:val="16"/>
              </w:rPr>
              <w:t>5,400</w:t>
            </w:r>
          </w:p>
        </w:tc>
        <w:tc>
          <w:tcPr>
            <w:tcW w:type="dxa" w:w="1037"/>
            <w:shd w:val="clear" w:color="auto" w:fill="EEF3F4"/>
          </w:tcPr>
          <w:p>
            <w:pPr>
              <w:jc w:val="center"/>
            </w:pPr>
            <w:r/>
            <w:r>
              <w:rPr>
                <w:b w:val="0"/>
                <w:sz w:val="16"/>
              </w:rPr>
              <w:t>5,900</w:t>
            </w:r>
          </w:p>
        </w:tc>
        <w:tc>
          <w:tcPr>
            <w:tcW w:type="dxa" w:w="1037"/>
            <w:shd w:val="clear" w:color="auto" w:fill="EEF3F4"/>
          </w:tcPr>
          <w:p>
            <w:pPr>
              <w:jc w:val="center"/>
            </w:pPr>
            <w:r/>
            <w:r>
              <w:rPr>
                <w:b w:val="0"/>
                <w:sz w:val="16"/>
              </w:rPr>
              <w:t>6,300</w:t>
            </w:r>
          </w:p>
        </w:tc>
        <w:tc>
          <w:tcPr>
            <w:tcW w:type="dxa" w:w="1037"/>
            <w:shd w:val="clear" w:color="auto" w:fill="EEF3F4"/>
          </w:tcPr>
          <w:p>
            <w:pPr>
              <w:jc w:val="center"/>
            </w:pPr>
            <w:r/>
            <w:r>
              <w:rPr>
                <w:b w:val="0"/>
                <w:sz w:val="16"/>
              </w:rPr>
              <w:t>6,700</w:t>
            </w:r>
          </w:p>
        </w:tc>
        <w:tc>
          <w:tcPr>
            <w:tcW w:type="dxa" w:w="1037"/>
            <w:shd w:val="clear" w:color="auto" w:fill="EEF3F4"/>
          </w:tcPr>
          <w:p>
            <w:pPr>
              <w:jc w:val="center"/>
            </w:pPr>
            <w:r/>
            <w:r>
              <w:rPr>
                <w:b w:val="0"/>
                <w:sz w:val="16"/>
              </w:rPr>
              <w:t>7,000</w:t>
            </w:r>
          </w:p>
        </w:tc>
      </w:tr>
      <w:tr>
        <w:tc>
          <w:tcPr>
            <w:tcW w:type="dxa" w:w="2304"/>
            <w:shd w:val="clear" w:color="auto" w:fill="FFFFFF"/>
          </w:tcPr>
          <w:p>
            <w:pPr>
              <w:jc w:val="left"/>
            </w:pPr>
            <w:r/>
            <w:r>
              <w:rPr>
                <w:b/>
                <w:color w:val="1B3A4B"/>
                <w:sz w:val="16"/>
              </w:rPr>
              <w:t>Paying members</w:t>
            </w:r>
          </w:p>
        </w:tc>
        <w:tc>
          <w:tcPr>
            <w:tcW w:type="dxa" w:w="1037"/>
            <w:shd w:val="clear" w:color="auto" w:fill="FFFFFF"/>
          </w:tcPr>
          <w:p>
            <w:pPr>
              <w:jc w:val="center"/>
            </w:pPr>
            <w:r/>
            <w:r>
              <w:rPr>
                <w:b w:val="0"/>
                <w:sz w:val="16"/>
              </w:rPr>
              <w:t>70</w:t>
            </w:r>
          </w:p>
        </w:tc>
        <w:tc>
          <w:tcPr>
            <w:tcW w:type="dxa" w:w="1037"/>
            <w:shd w:val="clear" w:color="auto" w:fill="FFFFFF"/>
          </w:tcPr>
          <w:p>
            <w:pPr>
              <w:jc w:val="center"/>
            </w:pPr>
            <w:r/>
            <w:r>
              <w:rPr>
                <w:b w:val="0"/>
                <w:sz w:val="16"/>
              </w:rPr>
              <w:t>95</w:t>
            </w:r>
          </w:p>
        </w:tc>
        <w:tc>
          <w:tcPr>
            <w:tcW w:type="dxa" w:w="1037"/>
            <w:shd w:val="clear" w:color="auto" w:fill="FFFFFF"/>
          </w:tcPr>
          <w:p>
            <w:pPr>
              <w:jc w:val="center"/>
            </w:pPr>
            <w:r/>
            <w:r>
              <w:rPr>
                <w:b w:val="0"/>
                <w:sz w:val="16"/>
              </w:rPr>
              <w:t>120</w:t>
            </w:r>
          </w:p>
        </w:tc>
        <w:tc>
          <w:tcPr>
            <w:tcW w:type="dxa" w:w="1037"/>
            <w:shd w:val="clear" w:color="auto" w:fill="FFFFFF"/>
          </w:tcPr>
          <w:p>
            <w:pPr>
              <w:jc w:val="center"/>
            </w:pPr>
            <w:r/>
            <w:r>
              <w:rPr>
                <w:b w:val="0"/>
                <w:sz w:val="16"/>
              </w:rPr>
              <w:t>150</w:t>
            </w:r>
          </w:p>
        </w:tc>
        <w:tc>
          <w:tcPr>
            <w:tcW w:type="dxa" w:w="1037"/>
            <w:shd w:val="clear" w:color="auto" w:fill="FFFFFF"/>
          </w:tcPr>
          <w:p>
            <w:pPr>
              <w:jc w:val="center"/>
            </w:pPr>
            <w:r/>
            <w:r>
              <w:rPr>
                <w:b w:val="0"/>
                <w:sz w:val="16"/>
              </w:rPr>
              <w:t>180</w:t>
            </w:r>
          </w:p>
        </w:tc>
        <w:tc>
          <w:tcPr>
            <w:tcW w:type="dxa" w:w="1037"/>
            <w:shd w:val="clear" w:color="auto" w:fill="FFFFFF"/>
          </w:tcPr>
          <w:p>
            <w:pPr>
              <w:jc w:val="center"/>
            </w:pPr>
            <w:r/>
            <w:r>
              <w:rPr>
                <w:b w:val="0"/>
                <w:sz w:val="16"/>
              </w:rPr>
              <w:t>210</w:t>
            </w:r>
          </w:p>
        </w:tc>
        <w:tc>
          <w:tcPr>
            <w:tcW w:type="dxa" w:w="1037"/>
            <w:shd w:val="clear" w:color="auto" w:fill="FFFFFF"/>
          </w:tcPr>
          <w:p>
            <w:pPr>
              <w:jc w:val="center"/>
            </w:pPr>
            <w:r/>
            <w:r>
              <w:rPr>
                <w:b w:val="0"/>
                <w:sz w:val="16"/>
              </w:rPr>
              <w:t>235</w:t>
            </w:r>
          </w:p>
        </w:tc>
        <w:tc>
          <w:tcPr>
            <w:tcW w:type="dxa" w:w="1037"/>
            <w:shd w:val="clear" w:color="auto" w:fill="FFFFFF"/>
          </w:tcPr>
          <w:p>
            <w:pPr>
              <w:jc w:val="center"/>
            </w:pPr>
            <w:r/>
            <w:r>
              <w:rPr>
                <w:b w:val="0"/>
                <w:sz w:val="16"/>
              </w:rPr>
              <w:t>260</w:t>
            </w:r>
          </w:p>
        </w:tc>
        <w:tc>
          <w:tcPr>
            <w:tcW w:type="dxa" w:w="1037"/>
            <w:shd w:val="clear" w:color="auto" w:fill="FFFFFF"/>
          </w:tcPr>
          <w:p>
            <w:pPr>
              <w:jc w:val="center"/>
            </w:pPr>
            <w:r/>
            <w:r>
              <w:rPr>
                <w:b w:val="0"/>
                <w:sz w:val="16"/>
              </w:rPr>
              <w:t>285</w:t>
            </w:r>
          </w:p>
        </w:tc>
        <w:tc>
          <w:tcPr>
            <w:tcW w:type="dxa" w:w="1037"/>
            <w:shd w:val="clear" w:color="auto" w:fill="FFFFFF"/>
          </w:tcPr>
          <w:p>
            <w:pPr>
              <w:jc w:val="center"/>
            </w:pPr>
            <w:r/>
            <w:r>
              <w:rPr>
                <w:b w:val="0"/>
                <w:sz w:val="16"/>
              </w:rPr>
              <w:t>310</w:t>
            </w:r>
          </w:p>
        </w:tc>
        <w:tc>
          <w:tcPr>
            <w:tcW w:type="dxa" w:w="1037"/>
            <w:shd w:val="clear" w:color="auto" w:fill="FFFFFF"/>
          </w:tcPr>
          <w:p>
            <w:pPr>
              <w:jc w:val="center"/>
            </w:pPr>
            <w:r/>
            <w:r>
              <w:rPr>
                <w:b w:val="0"/>
                <w:sz w:val="16"/>
              </w:rPr>
              <w:t>330</w:t>
            </w:r>
          </w:p>
        </w:tc>
        <w:tc>
          <w:tcPr>
            <w:tcW w:type="dxa" w:w="1037"/>
            <w:shd w:val="clear" w:color="auto" w:fill="FFFFFF"/>
          </w:tcPr>
          <w:p>
            <w:pPr>
              <w:jc w:val="center"/>
            </w:pPr>
            <w:r/>
            <w:r>
              <w:rPr>
                <w:b w:val="0"/>
                <w:sz w:val="16"/>
              </w:rPr>
              <w:t>350</w:t>
            </w:r>
          </w:p>
        </w:tc>
      </w:tr>
    </w:tbl>
    <w:p>
      <w:pPr>
        <w:spacing w:after="40"/>
      </w:pPr>
    </w:p>
    <w:p>
      <w:pPr>
        <w:spacing w:after="200"/>
        <w:jc w:val="left"/>
      </w:pPr>
      <w:r>
        <w:rPr>
          <w:i/>
          <w:color w:val="6B7B85"/>
          <w:sz w:val="17"/>
        </w:rPr>
        <w:t>Table A2. Audience at end of each month.</w:t>
      </w:r>
    </w:p>
    <w:p>
      <w:pPr>
        <w:sectPr>
          <w:pgSz w:w="15840" w:h="12240" w:orient="landscape"/>
          <w:pgMar w:top="1008" w:right="1152" w:bottom="1008" w:left="1152" w:header="720" w:footer="720" w:gutter="0"/>
          <w:cols w:space="720"/>
          <w:docGrid w:linePitch="360"/>
        </w:sectPr>
      </w:pPr>
    </w:p>
    <w:p>
      <w:pPr>
        <w:spacing w:after="120"/>
        <w:jc w:val="both"/>
      </w:pPr>
      <w:r>
        <w:rPr>
          <w:b/>
          <w:i w:val="0"/>
          <w:sz w:val="22"/>
        </w:rPr>
        <w:t>How to read this for decisions.</w:t>
      </w:r>
      <w:r>
        <w:rPr>
          <w:i w:val="0"/>
          <w:sz w:val="22"/>
        </w:rPr>
        <w:t xml:space="preserve"> The two ticketed events (Months 6 and 10) are the swing factors — they convert the audience into the biggest cash inflows of the year, which is exactly why events are a core pillar rather than an afterthought. If list growth lags, the founder can protect cash by trimming marketing (the largest discretionary line) and leaning harder on JV events, which require almost no upfront capital. The model deliberately keeps fixed costs near zero so the business cannot run out of money.</w:t>
      </w:r>
    </w:p>
    <w:p>
      <w:pPr>
        <w:spacing w:before="280" w:after="80"/>
        <w:pBdr>
          <w:bottom w:val="single" w:sz="6" w:space="2" w:color="2A9D8F"/>
        </w:pBdr>
      </w:pPr>
      <w:r>
        <w:rPr>
          <w:b/>
          <w:color w:val="1B3A4B"/>
          <w:sz w:val="34"/>
        </w:rPr>
        <w:t>2. Scaling with Human-in-the-Loop + AI</w:t>
      </w:r>
    </w:p>
    <w:p>
      <w:pPr>
        <w:spacing w:after="120"/>
        <w:jc w:val="both"/>
      </w:pPr>
      <w:r>
        <w:rPr>
          <w:i w:val="0"/>
          <w:sz w:val="22"/>
        </w:rPr>
        <w:t xml:space="preserve">AI is now cheap and good enough that anyone can spin up an 'AI local newsletter' — in fact, 6AM City acquired Good Daily's network of </w:t>
      </w:r>
      <w:r>
        <w:rPr>
          <w:b/>
          <w:i w:val="0"/>
          <w:sz w:val="22"/>
        </w:rPr>
        <w:t>350+ AI-generated local newsletters</w:t>
      </w:r>
      <w:r>
        <w:rPr>
          <w:i w:val="0"/>
          <w:sz w:val="22"/>
        </w:rPr>
        <w:t xml:space="preserve"> in 2025, then immediately began stripping out crime/politics and refocusing on lifestyle, a tell that pure-automated local content is </w:t>
      </w:r>
      <w:r>
        <w:rPr>
          <w:b/>
          <w:i w:val="0"/>
          <w:sz w:val="22"/>
        </w:rPr>
        <w:t>commoditizing</w:t>
      </w:r>
      <w:r>
        <w:rPr>
          <w:i w:val="0"/>
          <w:sz w:val="22"/>
        </w:rPr>
        <w:t xml:space="preserve">. That is the strategic insight for Brief Scout Media: </w:t>
      </w:r>
      <w:r>
        <w:rPr>
          <w:b/>
          <w:i w:val="0"/>
          <w:sz w:val="22"/>
        </w:rPr>
        <w:t>use AI to win on speed and cost in the back office, and use humans to win on trust, voice, and relationships in the front of house.</w:t>
      </w:r>
      <w:r>
        <w:rPr>
          <w:i w:val="0"/>
          <w:sz w:val="22"/>
        </w:rPr>
        <w:t xml:space="preserve"> AI handles volume; humans own the things a competitor (or a bot) cannot copy.</w:t>
      </w:r>
    </w:p>
    <w:p>
      <w:pPr>
        <w:spacing w:before="200" w:after="80"/>
      </w:pPr>
      <w:r>
        <w:rPr>
          <w:b/>
          <w:color w:val="2A9D8F"/>
          <w:sz w:val="27"/>
        </w:rPr>
        <w:t>2.1 The division of labor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shd w:val="clear" w:color="auto" w:fill="1B3A4B"/>
          </w:tcPr>
          <w:p>
            <w:pPr>
              <w:jc w:val="left"/>
            </w:pPr>
            <w:r/>
            <w:r>
              <w:rPr>
                <w:b/>
                <w:color w:val="FFFFFF"/>
                <w:sz w:val="17"/>
              </w:rPr>
              <w:t>Workflow</w:t>
            </w:r>
          </w:p>
        </w:tc>
        <w:tc>
          <w:tcPr>
            <w:tcW w:type="dxa" w:w="2880"/>
            <w:shd w:val="clear" w:color="auto" w:fill="1B3A4B"/>
          </w:tcPr>
          <w:p>
            <w:pPr>
              <w:jc w:val="center"/>
            </w:pPr>
            <w:r/>
            <w:r>
              <w:rPr>
                <w:b/>
                <w:color w:val="FFFFFF"/>
                <w:sz w:val="17"/>
              </w:rPr>
              <w:t>What AI does (drafts/assists)</w:t>
            </w:r>
          </w:p>
        </w:tc>
        <w:tc>
          <w:tcPr>
            <w:tcW w:type="dxa" w:w="2880"/>
            <w:shd w:val="clear" w:color="auto" w:fill="1B3A4B"/>
          </w:tcPr>
          <w:p>
            <w:pPr>
              <w:jc w:val="center"/>
            </w:pPr>
            <w:r/>
            <w:r>
              <w:rPr>
                <w:b/>
                <w:color w:val="FFFFFF"/>
                <w:sz w:val="17"/>
              </w:rPr>
              <w:t>What the human owns (decides/signs off)</w:t>
            </w:r>
          </w:p>
        </w:tc>
        <w:tc>
          <w:tcPr>
            <w:tcW w:type="dxa" w:w="1440"/>
            <w:shd w:val="clear" w:color="auto" w:fill="1B3A4B"/>
          </w:tcPr>
          <w:p>
            <w:pPr>
              <w:jc w:val="center"/>
            </w:pPr>
            <w:r/>
            <w:r>
              <w:rPr>
                <w:b/>
                <w:color w:val="FFFFFF"/>
                <w:sz w:val="17"/>
              </w:rPr>
              <w:t>Payoff</w:t>
            </w:r>
          </w:p>
        </w:tc>
      </w:tr>
      <w:tr>
        <w:tc>
          <w:tcPr>
            <w:tcW w:type="dxa" w:w="1944"/>
            <w:shd w:val="clear" w:color="auto" w:fill="EEF3F4"/>
          </w:tcPr>
          <w:p>
            <w:pPr>
              <w:jc w:val="left"/>
            </w:pPr>
            <w:r/>
            <w:r>
              <w:rPr>
                <w:b/>
                <w:color w:val="1B3A4B"/>
                <w:sz w:val="17"/>
              </w:rPr>
              <w:t>Event aggregation</w:t>
            </w:r>
          </w:p>
        </w:tc>
        <w:tc>
          <w:tcPr>
            <w:tcW w:type="dxa" w:w="2880"/>
            <w:shd w:val="clear" w:color="auto" w:fill="EEF3F4"/>
          </w:tcPr>
          <w:p>
            <w:pPr>
              <w:jc w:val="center"/>
            </w:pPr>
            <w:r/>
            <w:r>
              <w:rPr>
                <w:b w:val="0"/>
                <w:sz w:val="17"/>
              </w:rPr>
              <w:t>Scrape &amp; de-dupe venue/city calendars; structure listings</w:t>
            </w:r>
          </w:p>
        </w:tc>
        <w:tc>
          <w:tcPr>
            <w:tcW w:type="dxa" w:w="2880"/>
            <w:shd w:val="clear" w:color="auto" w:fill="EEF3F4"/>
          </w:tcPr>
          <w:p>
            <w:pPr>
              <w:jc w:val="center"/>
            </w:pPr>
            <w:r/>
            <w:r>
              <w:rPr>
                <w:b w:val="0"/>
                <w:sz w:val="17"/>
              </w:rPr>
              <w:t>Curate the 'what to do' picks with taste</w:t>
            </w:r>
          </w:p>
        </w:tc>
        <w:tc>
          <w:tcPr>
            <w:tcW w:type="dxa" w:w="1440"/>
            <w:shd w:val="clear" w:color="auto" w:fill="EEF3F4"/>
          </w:tcPr>
          <w:p>
            <w:pPr>
              <w:jc w:val="center"/>
            </w:pPr>
            <w:r/>
            <w:r>
              <w:rPr>
                <w:b w:val="0"/>
                <w:sz w:val="17"/>
              </w:rPr>
              <w:t>Hours saved; better picks</w:t>
            </w:r>
          </w:p>
        </w:tc>
      </w:tr>
      <w:tr>
        <w:tc>
          <w:tcPr>
            <w:tcW w:type="dxa" w:w="1944"/>
            <w:shd w:val="clear" w:color="auto" w:fill="FFFFFF"/>
          </w:tcPr>
          <w:p>
            <w:pPr>
              <w:jc w:val="left"/>
            </w:pPr>
            <w:r/>
            <w:r>
              <w:rPr>
                <w:b/>
                <w:color w:val="1B3A4B"/>
                <w:sz w:val="17"/>
              </w:rPr>
              <w:t>First drafts</w:t>
            </w:r>
          </w:p>
        </w:tc>
        <w:tc>
          <w:tcPr>
            <w:tcW w:type="dxa" w:w="2880"/>
            <w:shd w:val="clear" w:color="auto" w:fill="FFFFFF"/>
          </w:tcPr>
          <w:p>
            <w:pPr>
              <w:jc w:val="center"/>
            </w:pPr>
            <w:r/>
            <w:r>
              <w:rPr>
                <w:b w:val="0"/>
                <w:sz w:val="17"/>
              </w:rPr>
              <w:t>Summarize sources; draft sections &amp; blurbs</w:t>
            </w:r>
          </w:p>
        </w:tc>
        <w:tc>
          <w:tcPr>
            <w:tcW w:type="dxa" w:w="2880"/>
            <w:shd w:val="clear" w:color="auto" w:fill="FFFFFF"/>
          </w:tcPr>
          <w:p>
            <w:pPr>
              <w:jc w:val="center"/>
            </w:pPr>
            <w:r/>
            <w:r>
              <w:rPr>
                <w:b w:val="0"/>
                <w:sz w:val="17"/>
              </w:rPr>
              <w:t>Rewrite in the Scout voice; verify facts</w:t>
            </w:r>
          </w:p>
        </w:tc>
        <w:tc>
          <w:tcPr>
            <w:tcW w:type="dxa" w:w="1440"/>
            <w:shd w:val="clear" w:color="auto" w:fill="FFFFFF"/>
          </w:tcPr>
          <w:p>
            <w:pPr>
              <w:jc w:val="center"/>
            </w:pPr>
            <w:r/>
            <w:r>
              <w:rPr>
                <w:b w:val="0"/>
                <w:sz w:val="17"/>
              </w:rPr>
              <w:t>Faster production, same quality</w:t>
            </w:r>
          </w:p>
        </w:tc>
      </w:tr>
      <w:tr>
        <w:tc>
          <w:tcPr>
            <w:tcW w:type="dxa" w:w="1944"/>
            <w:shd w:val="clear" w:color="auto" w:fill="EEF3F4"/>
          </w:tcPr>
          <w:p>
            <w:pPr>
              <w:jc w:val="left"/>
            </w:pPr>
            <w:r/>
            <w:r>
              <w:rPr>
                <w:b/>
                <w:color w:val="1B3A4B"/>
                <w:sz w:val="17"/>
              </w:rPr>
              <w:t>Subject lines &amp; headlines</w:t>
            </w:r>
          </w:p>
        </w:tc>
        <w:tc>
          <w:tcPr>
            <w:tcW w:type="dxa" w:w="2880"/>
            <w:shd w:val="clear" w:color="auto" w:fill="EEF3F4"/>
          </w:tcPr>
          <w:p>
            <w:pPr>
              <w:jc w:val="center"/>
            </w:pPr>
            <w:r/>
            <w:r>
              <w:rPr>
                <w:b w:val="0"/>
                <w:sz w:val="17"/>
              </w:rPr>
              <w:t>Generate A/B variants</w:t>
            </w:r>
          </w:p>
        </w:tc>
        <w:tc>
          <w:tcPr>
            <w:tcW w:type="dxa" w:w="2880"/>
            <w:shd w:val="clear" w:color="auto" w:fill="EEF3F4"/>
          </w:tcPr>
          <w:p>
            <w:pPr>
              <w:jc w:val="center"/>
            </w:pPr>
            <w:r/>
            <w:r>
              <w:rPr>
                <w:b w:val="0"/>
                <w:sz w:val="17"/>
              </w:rPr>
              <w:t>Pick &amp; refine for voice</w:t>
            </w:r>
          </w:p>
        </w:tc>
        <w:tc>
          <w:tcPr>
            <w:tcW w:type="dxa" w:w="1440"/>
            <w:shd w:val="clear" w:color="auto" w:fill="EEF3F4"/>
          </w:tcPr>
          <w:p>
            <w:pPr>
              <w:jc w:val="center"/>
            </w:pPr>
            <w:r/>
            <w:r>
              <w:rPr>
                <w:b w:val="0"/>
                <w:sz w:val="17"/>
              </w:rPr>
              <w:t>Higher open rates</w:t>
            </w:r>
          </w:p>
        </w:tc>
      </w:tr>
      <w:tr>
        <w:tc>
          <w:tcPr>
            <w:tcW w:type="dxa" w:w="1944"/>
            <w:shd w:val="clear" w:color="auto" w:fill="FFFFFF"/>
          </w:tcPr>
          <w:p>
            <w:pPr>
              <w:jc w:val="left"/>
            </w:pPr>
            <w:r/>
            <w:r>
              <w:rPr>
                <w:b/>
                <w:color w:val="1B3A4B"/>
                <w:sz w:val="17"/>
              </w:rPr>
              <w:t>Research</w:t>
            </w:r>
          </w:p>
        </w:tc>
        <w:tc>
          <w:tcPr>
            <w:tcW w:type="dxa" w:w="2880"/>
            <w:shd w:val="clear" w:color="auto" w:fill="FFFFFF"/>
          </w:tcPr>
          <w:p>
            <w:pPr>
              <w:jc w:val="center"/>
            </w:pPr>
            <w:r/>
            <w:r>
              <w:rPr>
                <w:b w:val="0"/>
                <w:sz w:val="17"/>
              </w:rPr>
              <w:t>Brief the founder; pull data &amp; context</w:t>
            </w:r>
          </w:p>
        </w:tc>
        <w:tc>
          <w:tcPr>
            <w:tcW w:type="dxa" w:w="2880"/>
            <w:shd w:val="clear" w:color="auto" w:fill="FFFFFF"/>
          </w:tcPr>
          <w:p>
            <w:pPr>
              <w:jc w:val="center"/>
            </w:pPr>
            <w:r/>
            <w:r>
              <w:rPr>
                <w:b w:val="0"/>
                <w:sz w:val="17"/>
              </w:rPr>
              <w:t>Judgment, sourcing, original reporting</w:t>
            </w:r>
          </w:p>
        </w:tc>
        <w:tc>
          <w:tcPr>
            <w:tcW w:type="dxa" w:w="1440"/>
            <w:shd w:val="clear" w:color="auto" w:fill="FFFFFF"/>
          </w:tcPr>
          <w:p>
            <w:pPr>
              <w:jc w:val="center"/>
            </w:pPr>
            <w:r/>
            <w:r>
              <w:rPr>
                <w:b w:val="0"/>
                <w:sz w:val="17"/>
              </w:rPr>
              <w:t>Depth without the grind</w:t>
            </w:r>
          </w:p>
        </w:tc>
      </w:tr>
      <w:tr>
        <w:tc>
          <w:tcPr>
            <w:tcW w:type="dxa" w:w="1944"/>
            <w:shd w:val="clear" w:color="auto" w:fill="EEF3F4"/>
          </w:tcPr>
          <w:p>
            <w:pPr>
              <w:jc w:val="left"/>
            </w:pPr>
            <w:r/>
            <w:r>
              <w:rPr>
                <w:b/>
                <w:color w:val="1B3A4B"/>
                <w:sz w:val="17"/>
              </w:rPr>
              <w:t>Social repurposing</w:t>
            </w:r>
          </w:p>
        </w:tc>
        <w:tc>
          <w:tcPr>
            <w:tcW w:type="dxa" w:w="2880"/>
            <w:shd w:val="clear" w:color="auto" w:fill="EEF3F4"/>
          </w:tcPr>
          <w:p>
            <w:pPr>
              <w:jc w:val="center"/>
            </w:pPr>
            <w:r/>
            <w:r>
              <w:rPr>
                <w:b w:val="0"/>
                <w:sz w:val="17"/>
              </w:rPr>
              <w:t>Cut newsletter into posts/clips/captions</w:t>
            </w:r>
          </w:p>
        </w:tc>
        <w:tc>
          <w:tcPr>
            <w:tcW w:type="dxa" w:w="2880"/>
            <w:shd w:val="clear" w:color="auto" w:fill="EEF3F4"/>
          </w:tcPr>
          <w:p>
            <w:pPr>
              <w:jc w:val="center"/>
            </w:pPr>
            <w:r/>
            <w:r>
              <w:rPr>
                <w:b w:val="0"/>
                <w:sz w:val="17"/>
              </w:rPr>
              <w:t>Approve &amp; add personality</w:t>
            </w:r>
          </w:p>
        </w:tc>
        <w:tc>
          <w:tcPr>
            <w:tcW w:type="dxa" w:w="1440"/>
            <w:shd w:val="clear" w:color="auto" w:fill="EEF3F4"/>
          </w:tcPr>
          <w:p>
            <w:pPr>
              <w:jc w:val="center"/>
            </w:pPr>
            <w:r/>
            <w:r>
              <w:rPr>
                <w:b w:val="0"/>
                <w:sz w:val="17"/>
              </w:rPr>
              <w:t>Multi-channel reach, one effort</w:t>
            </w:r>
          </w:p>
        </w:tc>
      </w:tr>
      <w:tr>
        <w:tc>
          <w:tcPr>
            <w:tcW w:type="dxa" w:w="1944"/>
            <w:shd w:val="clear" w:color="auto" w:fill="FFFFFF"/>
          </w:tcPr>
          <w:p>
            <w:pPr>
              <w:jc w:val="left"/>
            </w:pPr>
            <w:r/>
            <w:r>
              <w:rPr>
                <w:b/>
                <w:color w:val="1B3A4B"/>
                <w:sz w:val="17"/>
              </w:rPr>
              <w:t>Personalization</w:t>
            </w:r>
          </w:p>
        </w:tc>
        <w:tc>
          <w:tcPr>
            <w:tcW w:type="dxa" w:w="2880"/>
            <w:shd w:val="clear" w:color="auto" w:fill="FFFFFF"/>
          </w:tcPr>
          <w:p>
            <w:pPr>
              <w:jc w:val="center"/>
            </w:pPr>
            <w:r/>
            <w:r>
              <w:rPr>
                <w:b w:val="0"/>
                <w:sz w:val="17"/>
              </w:rPr>
              <w:t>Segment list; tailor sends; predict churn</w:t>
            </w:r>
          </w:p>
        </w:tc>
        <w:tc>
          <w:tcPr>
            <w:tcW w:type="dxa" w:w="2880"/>
            <w:shd w:val="clear" w:color="auto" w:fill="FFFFFF"/>
          </w:tcPr>
          <w:p>
            <w:pPr>
              <w:jc w:val="center"/>
            </w:pPr>
            <w:r/>
            <w:r>
              <w:rPr>
                <w:b w:val="0"/>
                <w:sz w:val="17"/>
              </w:rPr>
              <w:t>Set strategy &amp; member experience</w:t>
            </w:r>
          </w:p>
        </w:tc>
        <w:tc>
          <w:tcPr>
            <w:tcW w:type="dxa" w:w="1440"/>
            <w:shd w:val="clear" w:color="auto" w:fill="FFFFFF"/>
          </w:tcPr>
          <w:p>
            <w:pPr>
              <w:jc w:val="center"/>
            </w:pPr>
            <w:r/>
            <w:r>
              <w:rPr>
                <w:b w:val="0"/>
                <w:sz w:val="17"/>
              </w:rPr>
              <w:t>Better retention &amp; LTV</w:t>
            </w:r>
          </w:p>
        </w:tc>
      </w:tr>
      <w:tr>
        <w:tc>
          <w:tcPr>
            <w:tcW w:type="dxa" w:w="1944"/>
            <w:shd w:val="clear" w:color="auto" w:fill="EEF3F4"/>
          </w:tcPr>
          <w:p>
            <w:pPr>
              <w:jc w:val="left"/>
            </w:pPr>
            <w:r/>
            <w:r>
              <w:rPr>
                <w:b/>
                <w:color w:val="1B3A4B"/>
                <w:sz w:val="17"/>
              </w:rPr>
              <w:t>Operations</w:t>
            </w:r>
          </w:p>
        </w:tc>
        <w:tc>
          <w:tcPr>
            <w:tcW w:type="dxa" w:w="2880"/>
            <w:shd w:val="clear" w:color="auto" w:fill="EEF3F4"/>
          </w:tcPr>
          <w:p>
            <w:pPr>
              <w:jc w:val="center"/>
            </w:pPr>
            <w:r/>
            <w:r>
              <w:rPr>
                <w:b w:val="0"/>
                <w:sz w:val="17"/>
              </w:rPr>
              <w:t>Automate billing, tagging, reminders (Make/Zapier)</w:t>
            </w:r>
          </w:p>
        </w:tc>
        <w:tc>
          <w:tcPr>
            <w:tcW w:type="dxa" w:w="2880"/>
            <w:shd w:val="clear" w:color="auto" w:fill="EEF3F4"/>
          </w:tcPr>
          <w:p>
            <w:pPr>
              <w:jc w:val="center"/>
            </w:pPr>
            <w:r/>
            <w:r>
              <w:rPr>
                <w:b w:val="0"/>
                <w:sz w:val="17"/>
              </w:rPr>
              <w:t>Exception handling &amp; relationships</w:t>
            </w:r>
          </w:p>
        </w:tc>
        <w:tc>
          <w:tcPr>
            <w:tcW w:type="dxa" w:w="1440"/>
            <w:shd w:val="clear" w:color="auto" w:fill="EEF3F4"/>
          </w:tcPr>
          <w:p>
            <w:pPr>
              <w:jc w:val="center"/>
            </w:pPr>
            <w:r/>
            <w:r>
              <w:rPr>
                <w:b w:val="0"/>
                <w:sz w:val="17"/>
              </w:rPr>
              <w:t>Solo-operator leverage</w:t>
            </w:r>
          </w:p>
        </w:tc>
      </w:tr>
    </w:tbl>
    <w:p>
      <w:pPr>
        <w:spacing w:after="40"/>
      </w:pPr>
    </w:p>
    <w:p>
      <w:pPr>
        <w:spacing w:after="200"/>
        <w:jc w:val="left"/>
      </w:pPr>
      <w:r>
        <w:rPr>
          <w:i/>
          <w:color w:val="6B7B85"/>
          <w:sz w:val="17"/>
        </w:rPr>
        <w:t>Table A3. The human-in-the-loop model: AI accelerates production; a human always edits, verifies, and signs off before publish.</w:t>
      </w:r>
    </w:p>
    <w:p>
      <w:pPr>
        <w:spacing w:before="200" w:after="80"/>
      </w:pPr>
      <w:r>
        <w:rPr>
          <w:b/>
          <w:color w:val="2A9D8F"/>
          <w:sz w:val="27"/>
        </w:rPr>
        <w:t>2.2 Why this is a better product, not just a cheaper one</w:t>
      </w:r>
    </w:p>
    <w:p>
      <w:pPr>
        <w:pStyle w:val="ListBullet"/>
        <w:spacing w:after="60"/>
      </w:pPr>
      <w:r>
        <w:rPr>
          <w:b/>
          <w:sz w:val="21"/>
        </w:rPr>
        <w:t>Quality compounds.</w:t>
      </w:r>
      <w:r>
        <w:rPr>
          <w:sz w:val="21"/>
        </w:rPr>
        <w:t xml:space="preserve"> Cutting production time ~30–50% lets a solo founder hold a high editorial bar at the weekly cadence — and reinvest the saved hours into events, partnerships, and original reporting, the work that actually builds the moat.</w:t>
      </w:r>
    </w:p>
    <w:p>
      <w:pPr>
        <w:pStyle w:val="ListBullet"/>
        <w:spacing w:after="60"/>
      </w:pPr>
      <w:r>
        <w:rPr>
          <w:b/>
          <w:sz w:val="21"/>
        </w:rPr>
        <w:t>Differentiation through contrast.</w:t>
      </w:r>
      <w:r>
        <w:rPr>
          <w:sz w:val="21"/>
        </w:rPr>
        <w:t xml:space="preserve"> As inboxes fill with AI sludge, a visibly human, opinionated, fact-checked Scout stands out. 'Written by a real Chattanoogan who actually went there' becomes a selling point.</w:t>
      </w:r>
    </w:p>
    <w:p>
      <w:pPr>
        <w:pStyle w:val="ListBullet"/>
        <w:spacing w:after="60"/>
      </w:pPr>
      <w:r>
        <w:rPr>
          <w:b/>
          <w:sz w:val="21"/>
        </w:rPr>
        <w:t>Scale without dilution.</w:t>
      </w:r>
      <w:r>
        <w:rPr>
          <w:sz w:val="21"/>
        </w:rPr>
        <w:t xml:space="preserve"> AI makes new verticals (Section 4) feasible for a tiny team, because the repeatable, mechanical 80% is automated and humans focus on the 20% that carries the brand.</w:t>
      </w:r>
    </w:p>
    <w:p>
      <w:pPr>
        <w:spacing w:after="120"/>
        <w:jc w:val="left"/>
      </w:pPr>
      <w:r>
        <w:rPr>
          <w:b/>
          <w:i w:val="0"/>
          <w:sz w:val="22"/>
        </w:rPr>
        <w:t>Guardrails (non-negotiable):</w:t>
      </w:r>
      <w:r>
        <w:rPr>
          <w:i w:val="0"/>
          <w:sz w:val="22"/>
        </w:rPr>
        <w:t xml:space="preserve"> never auto-publish; every issue is human-edited and fact-checked; AI is a drafting and ops tool, not the byline; be transparent with readers about how the Scout is made; protect the voice above all. The promise is human judgment, advertiser-free — AI just removes the drudgery that gets in its way.</w:t>
      </w:r>
    </w:p>
    <w:p>
      <w:pPr>
        <w:jc w:val="center"/>
      </w:pPr>
      <w:r>
        <w:drawing>
          <wp:inline xmlns:a="http://schemas.openxmlformats.org/drawingml/2006/main" xmlns:pic="http://schemas.openxmlformats.org/drawingml/2006/picture">
            <wp:extent cx="5852160" cy="3368484"/>
            <wp:docPr id="2" name="Picture 2"/>
            <wp:cNvGraphicFramePr>
              <a:graphicFrameLocks noChangeAspect="1"/>
            </wp:cNvGraphicFramePr>
            <a:graphic>
              <a:graphicData uri="http://schemas.openxmlformats.org/drawingml/2006/picture">
                <pic:pic>
                  <pic:nvPicPr>
                    <pic:cNvPr id="0" name="fig_ai_time.png"/>
                    <pic:cNvPicPr/>
                  </pic:nvPicPr>
                  <pic:blipFill>
                    <a:blip r:embed="rId10"/>
                    <a:stretch>
                      <a:fillRect/>
                    </a:stretch>
                  </pic:blipFill>
                  <pic:spPr>
                    <a:xfrm>
                      <a:off x="0" y="0"/>
                      <a:ext cx="5852160" cy="3368484"/>
                    </a:xfrm>
                    <a:prstGeom prst="rect"/>
                  </pic:spPr>
                </pic:pic>
              </a:graphicData>
            </a:graphic>
          </wp:inline>
        </w:drawing>
      </w:r>
    </w:p>
    <w:p>
      <w:pPr>
        <w:spacing w:after="240"/>
        <w:jc w:val="center"/>
      </w:pPr>
      <w:r>
        <w:rPr>
          <w:i/>
          <w:color w:val="6B7B85"/>
          <w:sz w:val="17"/>
        </w:rPr>
        <w:t>Figure A2. AI leverage shifts founder time away from mechanical production toward events, partnerships, and community — the defensible, revenue-driving work.</w:t>
      </w:r>
    </w:p>
    <w:p>
      <w:pPr>
        <w:spacing w:before="280" w:after="80"/>
        <w:pBdr>
          <w:bottom w:val="single" w:sz="6" w:space="2" w:color="2A9D8F"/>
        </w:pBdr>
      </w:pPr>
      <w:r>
        <w:rPr>
          <w:b/>
          <w:color w:val="1B3A4B"/>
          <w:sz w:val="34"/>
        </w:rPr>
        <w:t>3. Milestones &amp; Accomplishments Before Seeking Investment</w:t>
      </w:r>
    </w:p>
    <w:p>
      <w:pPr>
        <w:spacing w:after="120"/>
        <w:jc w:val="both"/>
      </w:pPr>
      <w:r>
        <w:rPr>
          <w:i w:val="0"/>
          <w:sz w:val="22"/>
        </w:rPr>
        <w:t xml:space="preserve">This business is designed to be </w:t>
      </w:r>
      <w:r>
        <w:rPr>
          <w:b/>
          <w:i w:val="0"/>
          <w:sz w:val="22"/>
        </w:rPr>
        <w:t>default-alive on reader revenue</w:t>
      </w:r>
      <w:r>
        <w:rPr>
          <w:i w:val="0"/>
          <w:sz w:val="22"/>
        </w:rPr>
        <w:t xml:space="preserve"> — many of the best comparables (Naptown Scoop, Catskill Crew, Charlotte Ledger) never raised a dollar. Outside capital should be </w:t>
      </w:r>
      <w:r>
        <w:rPr>
          <w:b/>
          <w:i w:val="0"/>
          <w:sz w:val="22"/>
        </w:rPr>
        <w:t>optional and offensive</w:t>
      </w:r>
      <w:r>
        <w:rPr>
          <w:i w:val="0"/>
          <w:sz w:val="22"/>
        </w:rPr>
        <w:t xml:space="preserve">: raised only to accelerate multi-market expansion, not to survive. That said, if/when the founder chooses to raise (6AM City raised $1.55M at seed in 2020 and $15.8M total by 2024), the following traction is what de-risks the story and maximizes valuation. The goal is to walk into any investor conversation already profitable, with a </w:t>
      </w:r>
      <w:r>
        <w:rPr>
          <w:b/>
          <w:i w:val="0"/>
          <w:sz w:val="22"/>
        </w:rPr>
        <w:t>proven, documented, repeatable playbook.</w:t>
      </w:r>
    </w:p>
    <w:p>
      <w:pPr>
        <w:spacing w:before="200" w:after="80"/>
      </w:pPr>
      <w:r>
        <w:rPr>
          <w:b/>
          <w:color w:val="2A9D8F"/>
          <w:sz w:val="27"/>
        </w:rPr>
        <w:t>3.1 The pre-funding milestone ladder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color="auto" w:fill="1B3A4B"/>
          </w:tcPr>
          <w:p>
            <w:pPr>
              <w:jc w:val="left"/>
            </w:pPr>
            <w:r/>
            <w:r>
              <w:rPr>
                <w:b/>
                <w:color w:val="FFFFFF"/>
                <w:sz w:val="17"/>
              </w:rPr>
              <w:t>Milestone</w:t>
            </w:r>
          </w:p>
        </w:tc>
        <w:tc>
          <w:tcPr>
            <w:tcW w:type="dxa" w:w="2736"/>
            <w:shd w:val="clear" w:color="auto" w:fill="1B3A4B"/>
          </w:tcPr>
          <w:p>
            <w:pPr>
              <w:jc w:val="center"/>
            </w:pPr>
            <w:r/>
            <w:r>
              <w:rPr>
                <w:b/>
                <w:color w:val="FFFFFF"/>
                <w:sz w:val="17"/>
              </w:rPr>
              <w:t>Target before raising</w:t>
            </w:r>
          </w:p>
        </w:tc>
        <w:tc>
          <w:tcPr>
            <w:tcW w:type="dxa" w:w="3024"/>
            <w:shd w:val="clear" w:color="auto" w:fill="1B3A4B"/>
          </w:tcPr>
          <w:p>
            <w:pPr>
              <w:jc w:val="center"/>
            </w:pPr>
            <w:r/>
            <w:r>
              <w:rPr>
                <w:b/>
                <w:color w:val="FFFFFF"/>
                <w:sz w:val="17"/>
              </w:rPr>
              <w:t>Why investors care</w:t>
            </w:r>
          </w:p>
        </w:tc>
        <w:tc>
          <w:tcPr>
            <w:tcW w:type="dxa" w:w="1008"/>
            <w:shd w:val="clear" w:color="auto" w:fill="1B3A4B"/>
          </w:tcPr>
          <w:p>
            <w:pPr>
              <w:jc w:val="center"/>
            </w:pPr>
            <w:r/>
            <w:r>
              <w:rPr>
                <w:b/>
                <w:color w:val="FFFFFF"/>
                <w:sz w:val="17"/>
              </w:rPr>
              <w:t>Timing</w:t>
            </w:r>
          </w:p>
        </w:tc>
      </w:tr>
      <w:tr>
        <w:tc>
          <w:tcPr>
            <w:tcW w:type="dxa" w:w="1728"/>
            <w:shd w:val="clear" w:color="auto" w:fill="EEF3F4"/>
          </w:tcPr>
          <w:p>
            <w:pPr>
              <w:jc w:val="left"/>
            </w:pPr>
            <w:r/>
            <w:r>
              <w:rPr>
                <w:b/>
                <w:color w:val="1B3A4B"/>
                <w:sz w:val="17"/>
              </w:rPr>
              <w:t>Audience</w:t>
            </w:r>
          </w:p>
        </w:tc>
        <w:tc>
          <w:tcPr>
            <w:tcW w:type="dxa" w:w="2736"/>
            <w:shd w:val="clear" w:color="auto" w:fill="EEF3F4"/>
          </w:tcPr>
          <w:p>
            <w:pPr>
              <w:jc w:val="center"/>
            </w:pPr>
            <w:r/>
            <w:r>
              <w:rPr>
                <w:b w:val="0"/>
                <w:sz w:val="17"/>
              </w:rPr>
              <w:t>7,000–15,000 engaged free subs; 45–55% open rate</w:t>
            </w:r>
          </w:p>
        </w:tc>
        <w:tc>
          <w:tcPr>
            <w:tcW w:type="dxa" w:w="3024"/>
            <w:shd w:val="clear" w:color="auto" w:fill="EEF3F4"/>
          </w:tcPr>
          <w:p>
            <w:pPr>
              <w:jc w:val="center"/>
            </w:pPr>
            <w:r/>
            <w:r>
              <w:rPr>
                <w:b w:val="0"/>
                <w:sz w:val="17"/>
              </w:rPr>
              <w:t>Proves organic demand &amp; a real funnel</w:t>
            </w:r>
          </w:p>
        </w:tc>
        <w:tc>
          <w:tcPr>
            <w:tcW w:type="dxa" w:w="1008"/>
            <w:shd w:val="clear" w:color="auto" w:fill="EEF3F4"/>
          </w:tcPr>
          <w:p>
            <w:pPr>
              <w:jc w:val="center"/>
            </w:pPr>
            <w:r/>
            <w:r>
              <w:rPr>
                <w:b w:val="0"/>
                <w:sz w:val="17"/>
              </w:rPr>
              <w:t>Y1–Y2</w:t>
            </w:r>
          </w:p>
        </w:tc>
      </w:tr>
      <w:tr>
        <w:tc>
          <w:tcPr>
            <w:tcW w:type="dxa" w:w="1728"/>
            <w:shd w:val="clear" w:color="auto" w:fill="FFFFFF"/>
          </w:tcPr>
          <w:p>
            <w:pPr>
              <w:jc w:val="left"/>
            </w:pPr>
            <w:r/>
            <w:r>
              <w:rPr>
                <w:b/>
                <w:color w:val="1B3A4B"/>
                <w:sz w:val="17"/>
              </w:rPr>
              <w:t>Paid conversion</w:t>
            </w:r>
          </w:p>
        </w:tc>
        <w:tc>
          <w:tcPr>
            <w:tcW w:type="dxa" w:w="2736"/>
            <w:shd w:val="clear" w:color="auto" w:fill="FFFFFF"/>
          </w:tcPr>
          <w:p>
            <w:pPr>
              <w:jc w:val="center"/>
            </w:pPr>
            <w:r/>
            <w:r>
              <w:rPr>
                <w:b w:val="0"/>
                <w:sz w:val="17"/>
              </w:rPr>
              <w:t>350–1,000+ members at 4–6% conversion</w:t>
            </w:r>
          </w:p>
        </w:tc>
        <w:tc>
          <w:tcPr>
            <w:tcW w:type="dxa" w:w="3024"/>
            <w:shd w:val="clear" w:color="auto" w:fill="FFFFFF"/>
          </w:tcPr>
          <w:p>
            <w:pPr>
              <w:jc w:val="center"/>
            </w:pPr>
            <w:r/>
            <w:r>
              <w:rPr>
                <w:b w:val="0"/>
                <w:sz w:val="17"/>
              </w:rPr>
              <w:t>Proves willingness to pay (the hardest unknown locally)</w:t>
            </w:r>
          </w:p>
        </w:tc>
        <w:tc>
          <w:tcPr>
            <w:tcW w:type="dxa" w:w="1008"/>
            <w:shd w:val="clear" w:color="auto" w:fill="FFFFFF"/>
          </w:tcPr>
          <w:p>
            <w:pPr>
              <w:jc w:val="center"/>
            </w:pPr>
            <w:r/>
            <w:r>
              <w:rPr>
                <w:b w:val="0"/>
                <w:sz w:val="17"/>
              </w:rPr>
              <w:t>Y1–Y2</w:t>
            </w:r>
          </w:p>
        </w:tc>
      </w:tr>
      <w:tr>
        <w:tc>
          <w:tcPr>
            <w:tcW w:type="dxa" w:w="1728"/>
            <w:shd w:val="clear" w:color="auto" w:fill="EEF3F4"/>
          </w:tcPr>
          <w:p>
            <w:pPr>
              <w:jc w:val="left"/>
            </w:pPr>
            <w:r/>
            <w:r>
              <w:rPr>
                <w:b/>
                <w:color w:val="1B3A4B"/>
                <w:sz w:val="17"/>
              </w:rPr>
              <w:t>Recurring revenue</w:t>
            </w:r>
          </w:p>
        </w:tc>
        <w:tc>
          <w:tcPr>
            <w:tcW w:type="dxa" w:w="2736"/>
            <w:shd w:val="clear" w:color="auto" w:fill="EEF3F4"/>
          </w:tcPr>
          <w:p>
            <w:pPr>
              <w:jc w:val="center"/>
            </w:pPr>
            <w:r/>
            <w:r>
              <w:rPr>
                <w:b w:val="0"/>
                <w:sz w:val="17"/>
              </w:rPr>
              <w:t>$3,000–$8,000+ MRR from membership</w:t>
            </w:r>
          </w:p>
        </w:tc>
        <w:tc>
          <w:tcPr>
            <w:tcW w:type="dxa" w:w="3024"/>
            <w:shd w:val="clear" w:color="auto" w:fill="EEF3F4"/>
          </w:tcPr>
          <w:p>
            <w:pPr>
              <w:jc w:val="center"/>
            </w:pPr>
            <w:r/>
            <w:r>
              <w:rPr>
                <w:b w:val="0"/>
                <w:sz w:val="17"/>
              </w:rPr>
              <w:t>Predictable base; the metric investors index on</w:t>
            </w:r>
          </w:p>
        </w:tc>
        <w:tc>
          <w:tcPr>
            <w:tcW w:type="dxa" w:w="1008"/>
            <w:shd w:val="clear" w:color="auto" w:fill="EEF3F4"/>
          </w:tcPr>
          <w:p>
            <w:pPr>
              <w:jc w:val="center"/>
            </w:pPr>
            <w:r/>
            <w:r>
              <w:rPr>
                <w:b w:val="0"/>
                <w:sz w:val="17"/>
              </w:rPr>
              <w:t>Y2</w:t>
            </w:r>
          </w:p>
        </w:tc>
      </w:tr>
      <w:tr>
        <w:tc>
          <w:tcPr>
            <w:tcW w:type="dxa" w:w="1728"/>
            <w:shd w:val="clear" w:color="auto" w:fill="FFFFFF"/>
          </w:tcPr>
          <w:p>
            <w:pPr>
              <w:jc w:val="left"/>
            </w:pPr>
            <w:r/>
            <w:r>
              <w:rPr>
                <w:b/>
                <w:color w:val="1B3A4B"/>
                <w:sz w:val="17"/>
              </w:rPr>
              <w:t>Retention</w:t>
            </w:r>
          </w:p>
        </w:tc>
        <w:tc>
          <w:tcPr>
            <w:tcW w:type="dxa" w:w="2736"/>
            <w:shd w:val="clear" w:color="auto" w:fill="FFFFFF"/>
          </w:tcPr>
          <w:p>
            <w:pPr>
              <w:jc w:val="center"/>
            </w:pPr>
            <w:r/>
            <w:r>
              <w:rPr>
                <w:b w:val="0"/>
                <w:sz w:val="17"/>
              </w:rPr>
              <w:t>Monthly churn &lt;4%; rising LTV</w:t>
            </w:r>
          </w:p>
        </w:tc>
        <w:tc>
          <w:tcPr>
            <w:tcW w:type="dxa" w:w="3024"/>
            <w:shd w:val="clear" w:color="auto" w:fill="FFFFFF"/>
          </w:tcPr>
          <w:p>
            <w:pPr>
              <w:jc w:val="center"/>
            </w:pPr>
            <w:r/>
            <w:r>
              <w:rPr>
                <w:b w:val="0"/>
                <w:sz w:val="17"/>
              </w:rPr>
              <w:t>Shows product love, not just acquisition</w:t>
            </w:r>
          </w:p>
        </w:tc>
        <w:tc>
          <w:tcPr>
            <w:tcW w:type="dxa" w:w="1008"/>
            <w:shd w:val="clear" w:color="auto" w:fill="FFFFFF"/>
          </w:tcPr>
          <w:p>
            <w:pPr>
              <w:jc w:val="center"/>
            </w:pPr>
            <w:r/>
            <w:r>
              <w:rPr>
                <w:b w:val="0"/>
                <w:sz w:val="17"/>
              </w:rPr>
              <w:t>Y1–Y2</w:t>
            </w:r>
          </w:p>
        </w:tc>
      </w:tr>
      <w:tr>
        <w:tc>
          <w:tcPr>
            <w:tcW w:type="dxa" w:w="1728"/>
            <w:shd w:val="clear" w:color="auto" w:fill="EEF3F4"/>
          </w:tcPr>
          <w:p>
            <w:pPr>
              <w:jc w:val="left"/>
            </w:pPr>
            <w:r/>
            <w:r>
              <w:rPr>
                <w:b/>
                <w:color w:val="1B3A4B"/>
                <w:sz w:val="17"/>
              </w:rPr>
              <w:t>Events</w:t>
            </w:r>
          </w:p>
        </w:tc>
        <w:tc>
          <w:tcPr>
            <w:tcW w:type="dxa" w:w="2736"/>
            <w:shd w:val="clear" w:color="auto" w:fill="EEF3F4"/>
          </w:tcPr>
          <w:p>
            <w:pPr>
              <w:jc w:val="center"/>
            </w:pPr>
            <w:r/>
            <w:r>
              <w:rPr>
                <w:b w:val="0"/>
                <w:sz w:val="17"/>
              </w:rPr>
              <w:t>2–4 profitable events; repeatable format</w:t>
            </w:r>
          </w:p>
        </w:tc>
        <w:tc>
          <w:tcPr>
            <w:tcW w:type="dxa" w:w="3024"/>
            <w:shd w:val="clear" w:color="auto" w:fill="EEF3F4"/>
          </w:tcPr>
          <w:p>
            <w:pPr>
              <w:jc w:val="center"/>
            </w:pPr>
            <w:r/>
            <w:r>
              <w:rPr>
                <w:b w:val="0"/>
                <w:sz w:val="17"/>
              </w:rPr>
              <w:t>Validates the highest-margin pillar</w:t>
            </w:r>
          </w:p>
        </w:tc>
        <w:tc>
          <w:tcPr>
            <w:tcW w:type="dxa" w:w="1008"/>
            <w:shd w:val="clear" w:color="auto" w:fill="EEF3F4"/>
          </w:tcPr>
          <w:p>
            <w:pPr>
              <w:jc w:val="center"/>
            </w:pPr>
            <w:r/>
            <w:r>
              <w:rPr>
                <w:b w:val="0"/>
                <w:sz w:val="17"/>
              </w:rPr>
              <w:t>Y1–Y2</w:t>
            </w:r>
          </w:p>
        </w:tc>
      </w:tr>
      <w:tr>
        <w:tc>
          <w:tcPr>
            <w:tcW w:type="dxa" w:w="1728"/>
            <w:shd w:val="clear" w:color="auto" w:fill="FFFFFF"/>
          </w:tcPr>
          <w:p>
            <w:pPr>
              <w:jc w:val="left"/>
            </w:pPr>
            <w:r/>
            <w:r>
              <w:rPr>
                <w:b/>
                <w:color w:val="1B3A4B"/>
                <w:sz w:val="17"/>
              </w:rPr>
              <w:t>Diversification</w:t>
            </w:r>
          </w:p>
        </w:tc>
        <w:tc>
          <w:tcPr>
            <w:tcW w:type="dxa" w:w="2736"/>
            <w:shd w:val="clear" w:color="auto" w:fill="FFFFFF"/>
          </w:tcPr>
          <w:p>
            <w:pPr>
              <w:jc w:val="center"/>
            </w:pPr>
            <w:r/>
            <w:r>
              <w:rPr>
                <w:b w:val="0"/>
                <w:sz w:val="17"/>
              </w:rPr>
              <w:t>No single stream &gt;50% of revenue</w:t>
            </w:r>
          </w:p>
        </w:tc>
        <w:tc>
          <w:tcPr>
            <w:tcW w:type="dxa" w:w="3024"/>
            <w:shd w:val="clear" w:color="auto" w:fill="FFFFFF"/>
          </w:tcPr>
          <w:p>
            <w:pPr>
              <w:jc w:val="center"/>
            </w:pPr>
            <w:r/>
            <w:r>
              <w:rPr>
                <w:b w:val="0"/>
                <w:sz w:val="17"/>
              </w:rPr>
              <w:t>Resilience; the LION '3+ streams' sustainability marker</w:t>
            </w:r>
          </w:p>
        </w:tc>
        <w:tc>
          <w:tcPr>
            <w:tcW w:type="dxa" w:w="1008"/>
            <w:shd w:val="clear" w:color="auto" w:fill="FFFFFF"/>
          </w:tcPr>
          <w:p>
            <w:pPr>
              <w:jc w:val="center"/>
            </w:pPr>
            <w:r/>
            <w:r>
              <w:rPr>
                <w:b w:val="0"/>
                <w:sz w:val="17"/>
              </w:rPr>
              <w:t>Y2</w:t>
            </w:r>
          </w:p>
        </w:tc>
      </w:tr>
      <w:tr>
        <w:tc>
          <w:tcPr>
            <w:tcW w:type="dxa" w:w="1728"/>
            <w:shd w:val="clear" w:color="auto" w:fill="EEF3F4"/>
          </w:tcPr>
          <w:p>
            <w:pPr>
              <w:jc w:val="left"/>
            </w:pPr>
            <w:r/>
            <w:r>
              <w:rPr>
                <w:b/>
                <w:color w:val="1B3A4B"/>
                <w:sz w:val="17"/>
              </w:rPr>
              <w:t>Profitability</w:t>
            </w:r>
          </w:p>
        </w:tc>
        <w:tc>
          <w:tcPr>
            <w:tcW w:type="dxa" w:w="2736"/>
            <w:shd w:val="clear" w:color="auto" w:fill="EEF3F4"/>
          </w:tcPr>
          <w:p>
            <w:pPr>
              <w:jc w:val="center"/>
            </w:pPr>
            <w:r/>
            <w:r>
              <w:rPr>
                <w:b w:val="0"/>
                <w:sz w:val="17"/>
              </w:rPr>
              <w:t>Owner-paid &amp; cash-flow positive</w:t>
            </w:r>
          </w:p>
        </w:tc>
        <w:tc>
          <w:tcPr>
            <w:tcW w:type="dxa" w:w="3024"/>
            <w:shd w:val="clear" w:color="auto" w:fill="EEF3F4"/>
          </w:tcPr>
          <w:p>
            <w:pPr>
              <w:jc w:val="center"/>
            </w:pPr>
            <w:r/>
            <w:r>
              <w:rPr>
                <w:b w:val="0"/>
                <w:sz w:val="17"/>
              </w:rPr>
              <w:t>'Default alive' — you raise from strength</w:t>
            </w:r>
          </w:p>
        </w:tc>
        <w:tc>
          <w:tcPr>
            <w:tcW w:type="dxa" w:w="1008"/>
            <w:shd w:val="clear" w:color="auto" w:fill="EEF3F4"/>
          </w:tcPr>
          <w:p>
            <w:pPr>
              <w:jc w:val="center"/>
            </w:pPr>
            <w:r/>
            <w:r>
              <w:rPr>
                <w:b w:val="0"/>
                <w:sz w:val="17"/>
              </w:rPr>
              <w:t>Y2</w:t>
            </w:r>
          </w:p>
        </w:tc>
      </w:tr>
      <w:tr>
        <w:tc>
          <w:tcPr>
            <w:tcW w:type="dxa" w:w="1728"/>
            <w:shd w:val="clear" w:color="auto" w:fill="FFFFFF"/>
          </w:tcPr>
          <w:p>
            <w:pPr>
              <w:jc w:val="left"/>
            </w:pPr>
            <w:r/>
            <w:r>
              <w:rPr>
                <w:b/>
                <w:color w:val="1B3A4B"/>
                <w:sz w:val="17"/>
              </w:rPr>
              <w:t>Playbook</w:t>
            </w:r>
          </w:p>
        </w:tc>
        <w:tc>
          <w:tcPr>
            <w:tcW w:type="dxa" w:w="2736"/>
            <w:shd w:val="clear" w:color="auto" w:fill="FFFFFF"/>
          </w:tcPr>
          <w:p>
            <w:pPr>
              <w:jc w:val="center"/>
            </w:pPr>
            <w:r/>
            <w:r>
              <w:rPr>
                <w:b w:val="0"/>
                <w:sz w:val="17"/>
              </w:rPr>
              <w:t>Documented launch &amp; ops playbook + founding team</w:t>
            </w:r>
          </w:p>
        </w:tc>
        <w:tc>
          <w:tcPr>
            <w:tcW w:type="dxa" w:w="3024"/>
            <w:shd w:val="clear" w:color="auto" w:fill="FFFFFF"/>
          </w:tcPr>
          <w:p>
            <w:pPr>
              <w:jc w:val="center"/>
            </w:pPr>
            <w:r/>
            <w:r>
              <w:rPr>
                <w:b w:val="0"/>
                <w:sz w:val="17"/>
              </w:rPr>
              <w:t>Proves the model is repeatable in a new market</w:t>
            </w:r>
          </w:p>
        </w:tc>
        <w:tc>
          <w:tcPr>
            <w:tcW w:type="dxa" w:w="1008"/>
            <w:shd w:val="clear" w:color="auto" w:fill="FFFFFF"/>
          </w:tcPr>
          <w:p>
            <w:pPr>
              <w:jc w:val="center"/>
            </w:pPr>
            <w:r/>
            <w:r>
              <w:rPr>
                <w:b w:val="0"/>
                <w:sz w:val="17"/>
              </w:rPr>
              <w:t>Y2–Y3</w:t>
            </w:r>
          </w:p>
        </w:tc>
      </w:tr>
    </w:tbl>
    <w:p>
      <w:pPr>
        <w:spacing w:after="40"/>
      </w:pPr>
    </w:p>
    <w:p>
      <w:pPr>
        <w:spacing w:after="200"/>
        <w:jc w:val="left"/>
      </w:pPr>
      <w:r>
        <w:rPr>
          <w:i/>
          <w:color w:val="6B7B85"/>
          <w:sz w:val="17"/>
        </w:rPr>
        <w:t>Table A4. Traction milestones that convert a local newsletter into a fundable, scalable story.</w:t>
      </w:r>
    </w:p>
    <w:p>
      <w:pPr>
        <w:spacing w:after="120"/>
        <w:jc w:val="left"/>
      </w:pPr>
      <w:r>
        <w:rPr>
          <w:b/>
          <w:i w:val="0"/>
          <w:sz w:val="22"/>
        </w:rPr>
        <w:t>Pre-launch proof points</w:t>
      </w:r>
      <w:r>
        <w:rPr>
          <w:i w:val="0"/>
          <w:sz w:val="22"/>
        </w:rPr>
        <w:t xml:space="preserve"> worth banking before Month 1: form the LLC and open a </w:t>
      </w:r>
      <w:r>
        <w:rPr>
          <w:b/>
          <w:i w:val="0"/>
          <w:sz w:val="22"/>
        </w:rPr>
        <w:t>founding-member presale</w:t>
      </w:r>
      <w:r>
        <w:rPr>
          <w:i w:val="0"/>
          <w:sz w:val="22"/>
        </w:rPr>
        <w:t xml:space="preserve"> (even 40–60 paid founders is hard evidence of willingness-to-pay in a market where no paid local newsletter yet exists); line up 5–10 launch partners; and secure 1–2 anchor event venues. These cost almost nothing and materially de-risk the launch.</w:t>
      </w:r>
    </w:p>
    <w:p>
      <w:pPr>
        <w:spacing w:before="280" w:after="80"/>
        <w:pBdr>
          <w:bottom w:val="single" w:sz="6" w:space="2" w:color="2A9D8F"/>
        </w:pBdr>
      </w:pPr>
      <w:r>
        <w:rPr>
          <w:b/>
          <w:color w:val="1B3A4B"/>
          <w:sz w:val="34"/>
        </w:rPr>
        <w:t>4. Expansion: Verticals vs. Markets — Ability &amp; Timing</w:t>
      </w:r>
    </w:p>
    <w:p>
      <w:pPr>
        <w:spacing w:after="120"/>
        <w:jc w:val="both"/>
      </w:pPr>
      <w:r>
        <w:rPr>
          <w:i w:val="0"/>
          <w:sz w:val="22"/>
        </w:rPr>
        <w:t xml:space="preserve">There are two ways to grow beyond the flagship, and they have very different economics. </w:t>
      </w:r>
      <w:r>
        <w:rPr>
          <w:b/>
          <w:i w:val="0"/>
          <w:sz w:val="22"/>
        </w:rPr>
        <w:t>Vertical expansion</w:t>
      </w:r>
      <w:r>
        <w:rPr>
          <w:i w:val="0"/>
          <w:sz w:val="22"/>
        </w:rPr>
        <w:t xml:space="preserve"> (new products in Chattanooga) monetizes an audience you already own — low acquisition cost, high incremental LTV, fast. </w:t>
      </w:r>
      <w:r>
        <w:rPr>
          <w:b/>
          <w:i w:val="0"/>
          <w:sz w:val="22"/>
        </w:rPr>
        <w:t>Geographic expansion</w:t>
      </w:r>
      <w:r>
        <w:rPr>
          <w:i w:val="0"/>
          <w:sz w:val="22"/>
        </w:rPr>
        <w:t xml:space="preserve"> (the same playbook in a new city) multiplies the audience but resets your relationships, content, and trust to zero — higher cost, slower, more operationally complex. The recommended sequence is unambiguous: </w:t>
      </w:r>
      <w:r>
        <w:rPr>
          <w:b/>
          <w:i w:val="0"/>
          <w:sz w:val="22"/>
        </w:rPr>
        <w:t>go deep before you go wide.</w:t>
      </w:r>
    </w:p>
    <w:p>
      <w:pPr>
        <w:jc w:val="center"/>
      </w:pPr>
      <w:r>
        <w:drawing>
          <wp:inline xmlns:a="http://schemas.openxmlformats.org/drawingml/2006/main" xmlns:pic="http://schemas.openxmlformats.org/drawingml/2006/picture">
            <wp:extent cx="5852160" cy="2699320"/>
            <wp:docPr id="3" name="Picture 3"/>
            <wp:cNvGraphicFramePr>
              <a:graphicFrameLocks noChangeAspect="1"/>
            </wp:cNvGraphicFramePr>
            <a:graphic>
              <a:graphicData uri="http://schemas.openxmlformats.org/drawingml/2006/picture">
                <pic:pic>
                  <pic:nvPicPr>
                    <pic:cNvPr id="0" name="fig_expansion.png"/>
                    <pic:cNvPicPr/>
                  </pic:nvPicPr>
                  <pic:blipFill>
                    <a:blip r:embed="rId11"/>
                    <a:stretch>
                      <a:fillRect/>
                    </a:stretch>
                  </pic:blipFill>
                  <pic:spPr>
                    <a:xfrm>
                      <a:off x="0" y="0"/>
                      <a:ext cx="5852160" cy="2699320"/>
                    </a:xfrm>
                    <a:prstGeom prst="rect"/>
                  </pic:spPr>
                </pic:pic>
              </a:graphicData>
            </a:graphic>
          </wp:inline>
        </w:drawing>
      </w:r>
    </w:p>
    <w:p>
      <w:pPr>
        <w:spacing w:after="240"/>
        <w:jc w:val="center"/>
      </w:pPr>
      <w:r>
        <w:rPr>
          <w:i/>
          <w:color w:val="6B7B85"/>
          <w:sz w:val="17"/>
        </w:rPr>
        <w:t>Figure A3. Recommended sequencing — saturate Chattanooga with verticals first; attempt a second market only once the playbook is proven and documented (Year 3+).</w:t>
      </w:r>
    </w:p>
    <w:p>
      <w:pPr>
        <w:spacing w:before="200" w:after="80"/>
      </w:pPr>
      <w:r>
        <w:rPr>
          <w:b/>
          <w:color w:val="2A9D8F"/>
          <w:sz w:val="27"/>
        </w:rPr>
        <w:t>4.1 Vertical expansion (same city, new products)</w:t>
      </w:r>
    </w:p>
    <w:p>
      <w:pPr>
        <w:spacing w:after="120"/>
        <w:jc w:val="left"/>
      </w:pPr>
      <w:r>
        <w:rPr>
          <w:b/>
          <w:i w:val="0"/>
          <w:sz w:val="22"/>
        </w:rPr>
        <w:t>Prerequisite:</w:t>
      </w:r>
      <w:r>
        <w:rPr>
          <w:i w:val="0"/>
          <w:sz w:val="22"/>
        </w:rPr>
        <w:t xml:space="preserve"> a stable flagship (~10,000+ free subs, healthy membership, reliable events). </w:t>
      </w:r>
      <w:r>
        <w:rPr>
          <w:b/>
          <w:i w:val="0"/>
          <w:sz w:val="22"/>
        </w:rPr>
        <w:t>Timing: Year 2.</w:t>
      </w:r>
      <w:r>
        <w:rPr>
          <w:i w:val="0"/>
          <w:sz w:val="22"/>
        </w:rPr>
        <w:t xml:space="preserve"> Each vertical reuses the brand, list, and ops, so the marginal cost is low and AI (Section 2) makes additional editorial output feasible for a tiny team.</w:t>
      </w:r>
    </w:p>
    <w:p>
      <w:pPr>
        <w:pStyle w:val="ListBullet"/>
        <w:spacing w:after="60"/>
      </w:pPr>
      <w:r>
        <w:rPr>
          <w:b/>
          <w:sz w:val="21"/>
        </w:rPr>
        <w:t>A dedicated 'What to do' / weekend events edition</w:t>
      </w:r>
      <w:r>
        <w:rPr>
          <w:sz w:val="21"/>
        </w:rPr>
        <w:t xml:space="preserve"> — natural extension of the strongest content, feeds the events business.</w:t>
      </w:r>
    </w:p>
    <w:p>
      <w:pPr>
        <w:pStyle w:val="ListBullet"/>
        <w:spacing w:after="60"/>
      </w:pPr>
      <w:r>
        <w:rPr>
          <w:b/>
          <w:sz w:val="21"/>
        </w:rPr>
        <w:t>Newcomer guide / relocation funnel</w:t>
      </w:r>
      <w:r>
        <w:rPr>
          <w:sz w:val="21"/>
        </w:rPr>
        <w:t xml:space="preserve"> — targets Chattanooga's fast-growing CA/IL transplant inflow at the exact moment they'll pay for orientation.</w:t>
      </w:r>
    </w:p>
    <w:p>
      <w:pPr>
        <w:pStyle w:val="ListBullet"/>
        <w:spacing w:after="60"/>
      </w:pPr>
      <w:r>
        <w:rPr>
          <w:b/>
          <w:sz w:val="21"/>
        </w:rPr>
        <w:t>Food &amp; dining edition</w:t>
      </w:r>
      <w:r>
        <w:rPr>
          <w:sz w:val="21"/>
        </w:rPr>
        <w:t xml:space="preserve"> — high engagement, strong JV-event and guide tie-ins.</w:t>
      </w:r>
    </w:p>
    <w:p>
      <w:pPr>
        <w:pStyle w:val="ListBullet"/>
        <w:spacing w:after="60"/>
      </w:pPr>
      <w:r>
        <w:rPr>
          <w:b/>
          <w:sz w:val="21"/>
        </w:rPr>
        <w:t>Family/kids or neighborhood editions</w:t>
      </w:r>
      <w:r>
        <w:rPr>
          <w:sz w:val="21"/>
        </w:rPr>
        <w:t xml:space="preserve"> — deepen household reach and local-business relationships.</w:t>
      </w:r>
    </w:p>
    <w:p>
      <w:pPr>
        <w:spacing w:before="200" w:after="80"/>
      </w:pPr>
      <w:r>
        <w:rPr>
          <w:b/>
          <w:color w:val="2A9D8F"/>
          <w:sz w:val="27"/>
        </w:rPr>
        <w:t>4.2 Geographic expansion (new markets)</w:t>
      </w:r>
    </w:p>
    <w:p>
      <w:pPr>
        <w:spacing w:after="120"/>
        <w:jc w:val="left"/>
      </w:pPr>
      <w:r>
        <w:rPr>
          <w:b/>
          <w:i w:val="0"/>
          <w:sz w:val="22"/>
        </w:rPr>
        <w:t>Prerequisite:</w:t>
      </w:r>
      <w:r>
        <w:rPr>
          <w:i w:val="0"/>
          <w:sz w:val="22"/>
        </w:rPr>
        <w:t xml:space="preserve"> the Chattanooga model is profitable, documented, and repeatable, ideally with a second operator to prove it isn't founder-dependent. </w:t>
      </w:r>
      <w:r>
        <w:rPr>
          <w:b/>
          <w:i w:val="0"/>
          <w:sz w:val="22"/>
        </w:rPr>
        <w:t>Timing: Year 3+.</w:t>
      </w:r>
      <w:r>
        <w:rPr>
          <w:i w:val="0"/>
          <w:sz w:val="22"/>
        </w:rPr>
        <w:t xml:space="preserve"> Strong candidate metros are mid-sized, growing Southeastern cities with the same dynamics — </w:t>
      </w:r>
      <w:r>
        <w:rPr>
          <w:b/>
          <w:i w:val="0"/>
          <w:sz w:val="22"/>
        </w:rPr>
        <w:t>Knoxville, Asheville, Greenville, Chattanooga-adjacent Huntsville/Birmingham</w:t>
      </w:r>
      <w:r>
        <w:rPr>
          <w:i w:val="0"/>
          <w:sz w:val="22"/>
        </w:rPr>
        <w:t xml:space="preserve"> — entered one at a time. 6AM City's network of 30+ cities proves replication scales; Charlotte Ledger's depth proves a single city can be enough. Brief Scout Media should earn the right to choose.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color="auto" w:fill="1B3A4B"/>
          </w:tcPr>
          <w:p>
            <w:pPr>
              <w:jc w:val="left"/>
            </w:pPr>
            <w:r/>
            <w:r>
              <w:rPr>
                <w:b/>
                <w:color w:val="FFFFFF"/>
                <w:sz w:val="17"/>
              </w:rPr>
              <w:t>Path</w:t>
            </w:r>
          </w:p>
        </w:tc>
        <w:tc>
          <w:tcPr>
            <w:tcW w:type="dxa" w:w="2304"/>
            <w:shd w:val="clear" w:color="auto" w:fill="1B3A4B"/>
          </w:tcPr>
          <w:p>
            <w:pPr>
              <w:jc w:val="center"/>
            </w:pPr>
            <w:r/>
            <w:r>
              <w:rPr>
                <w:b/>
                <w:color w:val="FFFFFF"/>
                <w:sz w:val="17"/>
              </w:rPr>
              <w:t>Prerequisite</w:t>
            </w:r>
          </w:p>
        </w:tc>
        <w:tc>
          <w:tcPr>
            <w:tcW w:type="dxa" w:w="1296"/>
            <w:shd w:val="clear" w:color="auto" w:fill="1B3A4B"/>
          </w:tcPr>
          <w:p>
            <w:pPr>
              <w:jc w:val="center"/>
            </w:pPr>
            <w:r/>
            <w:r>
              <w:rPr>
                <w:b/>
                <w:color w:val="FFFFFF"/>
                <w:sz w:val="17"/>
              </w:rPr>
              <w:t>Timing</w:t>
            </w:r>
          </w:p>
        </w:tc>
        <w:tc>
          <w:tcPr>
            <w:tcW w:type="dxa" w:w="1440"/>
            <w:shd w:val="clear" w:color="auto" w:fill="1B3A4B"/>
          </w:tcPr>
          <w:p>
            <w:pPr>
              <w:jc w:val="center"/>
            </w:pPr>
            <w:r/>
            <w:r>
              <w:rPr>
                <w:b/>
                <w:color w:val="FFFFFF"/>
                <w:sz w:val="17"/>
              </w:rPr>
              <w:t>Capital need</w:t>
            </w:r>
          </w:p>
        </w:tc>
        <w:tc>
          <w:tcPr>
            <w:tcW w:type="dxa" w:w="1584"/>
            <w:shd w:val="clear" w:color="auto" w:fill="1B3A4B"/>
          </w:tcPr>
          <w:p>
            <w:pPr>
              <w:jc w:val="center"/>
            </w:pPr>
            <w:r/>
            <w:r>
              <w:rPr>
                <w:b/>
                <w:color w:val="FFFFFF"/>
                <w:sz w:val="17"/>
              </w:rPr>
              <w:t>Risk</w:t>
            </w:r>
          </w:p>
        </w:tc>
        <w:tc>
          <w:tcPr>
            <w:tcW w:type="dxa" w:w="1584"/>
            <w:shd w:val="clear" w:color="auto" w:fill="1B3A4B"/>
          </w:tcPr>
          <w:p>
            <w:pPr>
              <w:jc w:val="center"/>
            </w:pPr>
            <w:r/>
            <w:r>
              <w:rPr>
                <w:b/>
                <w:color w:val="FFFFFF"/>
                <w:sz w:val="17"/>
              </w:rPr>
              <w:t>Upside</w:t>
            </w:r>
          </w:p>
        </w:tc>
      </w:tr>
      <w:tr>
        <w:tc>
          <w:tcPr>
            <w:tcW w:type="dxa" w:w="1872"/>
            <w:shd w:val="clear" w:color="auto" w:fill="EEF3F4"/>
          </w:tcPr>
          <w:p>
            <w:pPr>
              <w:jc w:val="left"/>
            </w:pPr>
            <w:r/>
            <w:r>
              <w:rPr>
                <w:b/>
                <w:color w:val="1B3A4B"/>
                <w:sz w:val="17"/>
              </w:rPr>
              <w:t>Verticals (same city)</w:t>
            </w:r>
          </w:p>
        </w:tc>
        <w:tc>
          <w:tcPr>
            <w:tcW w:type="dxa" w:w="2304"/>
            <w:shd w:val="clear" w:color="auto" w:fill="EEF3F4"/>
          </w:tcPr>
          <w:p>
            <w:pPr>
              <w:jc w:val="center"/>
            </w:pPr>
            <w:r/>
            <w:r>
              <w:rPr>
                <w:b w:val="0"/>
                <w:sz w:val="17"/>
              </w:rPr>
              <w:t>Stable flagship ~10K+ list</w:t>
            </w:r>
          </w:p>
        </w:tc>
        <w:tc>
          <w:tcPr>
            <w:tcW w:type="dxa" w:w="1296"/>
            <w:shd w:val="clear" w:color="auto" w:fill="EEF3F4"/>
          </w:tcPr>
          <w:p>
            <w:pPr>
              <w:jc w:val="center"/>
            </w:pPr>
            <w:r/>
            <w:r>
              <w:rPr>
                <w:b w:val="0"/>
                <w:sz w:val="17"/>
              </w:rPr>
              <w:t>Year 2</w:t>
            </w:r>
          </w:p>
        </w:tc>
        <w:tc>
          <w:tcPr>
            <w:tcW w:type="dxa" w:w="1440"/>
            <w:shd w:val="clear" w:color="auto" w:fill="EEF3F4"/>
          </w:tcPr>
          <w:p>
            <w:pPr>
              <w:jc w:val="center"/>
            </w:pPr>
            <w:r/>
            <w:r>
              <w:rPr>
                <w:b w:val="0"/>
                <w:sz w:val="17"/>
              </w:rPr>
              <w:t>Low</w:t>
            </w:r>
          </w:p>
        </w:tc>
        <w:tc>
          <w:tcPr>
            <w:tcW w:type="dxa" w:w="1584"/>
            <w:shd w:val="clear" w:color="auto" w:fill="EEF3F4"/>
          </w:tcPr>
          <w:p>
            <w:pPr>
              <w:jc w:val="center"/>
            </w:pPr>
            <w:r/>
            <w:r>
              <w:rPr>
                <w:b w:val="0"/>
                <w:sz w:val="17"/>
              </w:rPr>
              <w:t>Low — owned audience</w:t>
            </w:r>
          </w:p>
        </w:tc>
        <w:tc>
          <w:tcPr>
            <w:tcW w:type="dxa" w:w="1584"/>
            <w:shd w:val="clear" w:color="auto" w:fill="EEF3F4"/>
          </w:tcPr>
          <w:p>
            <w:pPr>
              <w:jc w:val="center"/>
            </w:pPr>
            <w:r/>
            <w:r>
              <w:rPr>
                <w:b w:val="0"/>
                <w:sz w:val="17"/>
              </w:rPr>
              <w:t>Higher LTV per reader</w:t>
            </w:r>
          </w:p>
        </w:tc>
      </w:tr>
      <w:tr>
        <w:tc>
          <w:tcPr>
            <w:tcW w:type="dxa" w:w="1872"/>
            <w:shd w:val="clear" w:color="auto" w:fill="FFFFFF"/>
          </w:tcPr>
          <w:p>
            <w:pPr>
              <w:jc w:val="left"/>
            </w:pPr>
            <w:r/>
            <w:r>
              <w:rPr>
                <w:b/>
                <w:color w:val="1B3A4B"/>
                <w:sz w:val="17"/>
              </w:rPr>
              <w:t>2nd market (single)</w:t>
            </w:r>
          </w:p>
        </w:tc>
        <w:tc>
          <w:tcPr>
            <w:tcW w:type="dxa" w:w="2304"/>
            <w:shd w:val="clear" w:color="auto" w:fill="FFFFFF"/>
          </w:tcPr>
          <w:p>
            <w:pPr>
              <w:jc w:val="center"/>
            </w:pPr>
            <w:r/>
            <w:r>
              <w:rPr>
                <w:b w:val="0"/>
                <w:sz w:val="17"/>
              </w:rPr>
              <w:t>Proven, documented playbook</w:t>
            </w:r>
          </w:p>
        </w:tc>
        <w:tc>
          <w:tcPr>
            <w:tcW w:type="dxa" w:w="1296"/>
            <w:shd w:val="clear" w:color="auto" w:fill="FFFFFF"/>
          </w:tcPr>
          <w:p>
            <w:pPr>
              <w:jc w:val="center"/>
            </w:pPr>
            <w:r/>
            <w:r>
              <w:rPr>
                <w:b w:val="0"/>
                <w:sz w:val="17"/>
              </w:rPr>
              <w:t>Year 3+</w:t>
            </w:r>
          </w:p>
        </w:tc>
        <w:tc>
          <w:tcPr>
            <w:tcW w:type="dxa" w:w="1440"/>
            <w:shd w:val="clear" w:color="auto" w:fill="FFFFFF"/>
          </w:tcPr>
          <w:p>
            <w:pPr>
              <w:jc w:val="center"/>
            </w:pPr>
            <w:r/>
            <w:r>
              <w:rPr>
                <w:b w:val="0"/>
                <w:sz w:val="17"/>
              </w:rPr>
              <w:t>Medium</w:t>
            </w:r>
          </w:p>
        </w:tc>
        <w:tc>
          <w:tcPr>
            <w:tcW w:type="dxa" w:w="1584"/>
            <w:shd w:val="clear" w:color="auto" w:fill="FFFFFF"/>
          </w:tcPr>
          <w:p>
            <w:pPr>
              <w:jc w:val="center"/>
            </w:pPr>
            <w:r/>
            <w:r>
              <w:rPr>
                <w:b w:val="0"/>
                <w:sz w:val="17"/>
              </w:rPr>
              <w:t>Medium — rebuild trust</w:t>
            </w:r>
          </w:p>
        </w:tc>
        <w:tc>
          <w:tcPr>
            <w:tcW w:type="dxa" w:w="1584"/>
            <w:shd w:val="clear" w:color="auto" w:fill="FFFFFF"/>
          </w:tcPr>
          <w:p>
            <w:pPr>
              <w:jc w:val="center"/>
            </w:pPr>
            <w:r/>
            <w:r>
              <w:rPr>
                <w:b w:val="0"/>
                <w:sz w:val="17"/>
              </w:rPr>
              <w:t>Multiplies audience</w:t>
            </w:r>
          </w:p>
        </w:tc>
      </w:tr>
      <w:tr>
        <w:tc>
          <w:tcPr>
            <w:tcW w:type="dxa" w:w="1872"/>
            <w:shd w:val="clear" w:color="auto" w:fill="EEF3F4"/>
          </w:tcPr>
          <w:p>
            <w:pPr>
              <w:jc w:val="left"/>
            </w:pPr>
            <w:r/>
            <w:r>
              <w:rPr>
                <w:b/>
                <w:color w:val="1B3A4B"/>
                <w:sz w:val="17"/>
              </w:rPr>
              <w:t>Multi-market network</w:t>
            </w:r>
          </w:p>
        </w:tc>
        <w:tc>
          <w:tcPr>
            <w:tcW w:type="dxa" w:w="2304"/>
            <w:shd w:val="clear" w:color="auto" w:fill="EEF3F4"/>
          </w:tcPr>
          <w:p>
            <w:pPr>
              <w:jc w:val="center"/>
            </w:pPr>
            <w:r/>
            <w:r>
              <w:rPr>
                <w:b w:val="0"/>
                <w:sz w:val="17"/>
              </w:rPr>
              <w:t>2nd market succeeds + capital</w:t>
            </w:r>
          </w:p>
        </w:tc>
        <w:tc>
          <w:tcPr>
            <w:tcW w:type="dxa" w:w="1296"/>
            <w:shd w:val="clear" w:color="auto" w:fill="EEF3F4"/>
          </w:tcPr>
          <w:p>
            <w:pPr>
              <w:jc w:val="center"/>
            </w:pPr>
            <w:r/>
            <w:r>
              <w:rPr>
                <w:b w:val="0"/>
                <w:sz w:val="17"/>
              </w:rPr>
              <w:t>Year 4–5</w:t>
            </w:r>
          </w:p>
        </w:tc>
        <w:tc>
          <w:tcPr>
            <w:tcW w:type="dxa" w:w="1440"/>
            <w:shd w:val="clear" w:color="auto" w:fill="EEF3F4"/>
          </w:tcPr>
          <w:p>
            <w:pPr>
              <w:jc w:val="center"/>
            </w:pPr>
            <w:r/>
            <w:r>
              <w:rPr>
                <w:b w:val="0"/>
                <w:sz w:val="17"/>
              </w:rPr>
              <w:t>High (raise here)</w:t>
            </w:r>
          </w:p>
        </w:tc>
        <w:tc>
          <w:tcPr>
            <w:tcW w:type="dxa" w:w="1584"/>
            <w:shd w:val="clear" w:color="auto" w:fill="EEF3F4"/>
          </w:tcPr>
          <w:p>
            <w:pPr>
              <w:jc w:val="center"/>
            </w:pPr>
            <w:r/>
            <w:r>
              <w:rPr>
                <w:b w:val="0"/>
                <w:sz w:val="17"/>
              </w:rPr>
              <w:t>High — ops complexity</w:t>
            </w:r>
          </w:p>
        </w:tc>
        <w:tc>
          <w:tcPr>
            <w:tcW w:type="dxa" w:w="1584"/>
            <w:shd w:val="clear" w:color="auto" w:fill="EEF3F4"/>
          </w:tcPr>
          <w:p>
            <w:pPr>
              <w:jc w:val="center"/>
            </w:pPr>
            <w:r/>
            <w:r>
              <w:rPr>
                <w:b w:val="0"/>
                <w:sz w:val="17"/>
              </w:rPr>
              <w:t>Category-leader scale</w:t>
            </w:r>
          </w:p>
        </w:tc>
      </w:tr>
    </w:tbl>
    <w:p>
      <w:pPr>
        <w:spacing w:after="40"/>
      </w:pPr>
    </w:p>
    <w:p>
      <w:pPr>
        <w:spacing w:after="200"/>
        <w:jc w:val="left"/>
      </w:pPr>
      <w:r>
        <w:rPr>
          <w:i/>
          <w:color w:val="6B7B85"/>
          <w:sz w:val="17"/>
        </w:rPr>
        <w:t>Table A5. Expansion decision framework. Verticals are the low-risk default; geography is where outside capital earns its keep.</w:t>
      </w:r>
    </w:p>
    <w:p>
      <w:pPr>
        <w:spacing w:before="280" w:after="80"/>
        <w:pBdr>
          <w:bottom w:val="single" w:sz="6" w:space="2" w:color="2A9D8F"/>
        </w:pBdr>
      </w:pPr>
      <w:r>
        <w:rPr>
          <w:b/>
          <w:color w:val="1B3A4B"/>
          <w:sz w:val="34"/>
        </w:rPr>
        <w:t>5. Tone, Topics &amp; the Moat</w:t>
      </w:r>
    </w:p>
    <w:p>
      <w:pPr>
        <w:spacing w:after="120"/>
        <w:jc w:val="both"/>
      </w:pPr>
      <w:r>
        <w:rPr>
          <w:i w:val="0"/>
          <w:sz w:val="22"/>
        </w:rPr>
        <w:t xml:space="preserve">In a market where the free incumbent (NOOGAtoday) is broad and ad-driven and the legacy paper is behind an expensive paywall, Brief Scout Media differentiates on </w:t>
      </w:r>
      <w:r>
        <w:rPr>
          <w:b/>
          <w:i w:val="0"/>
          <w:sz w:val="22"/>
        </w:rPr>
        <w:t>trust, taste, and independence</w:t>
      </w:r>
      <w:r>
        <w:rPr>
          <w:i w:val="0"/>
          <w:sz w:val="22"/>
        </w:rPr>
        <w:t>. The reader — not an advertiser — is the customer, and the brand should sound like it. That stance is itself a moat: it is the one thing an ad-funded competitor structurally cannot copy without breaking its own model.</w:t>
      </w:r>
    </w:p>
    <w:p>
      <w:pPr>
        <w:spacing w:before="200" w:after="80"/>
      </w:pPr>
      <w:r>
        <w:rPr>
          <w:b/>
          <w:color w:val="2A9D8F"/>
          <w:sz w:val="27"/>
        </w:rPr>
        <w:t>5.1 Tone</w:t>
      </w:r>
    </w:p>
    <w:p>
      <w:pPr>
        <w:pStyle w:val="ListBullet"/>
        <w:spacing w:after="60"/>
      </w:pPr>
      <w:r>
        <w:rPr>
          <w:b/>
          <w:sz w:val="21"/>
        </w:rPr>
        <w:t>Trusted insider, not a feed.</w:t>
      </w:r>
      <w:r>
        <w:rPr>
          <w:sz w:val="21"/>
        </w:rPr>
        <w:t xml:space="preserve"> Warm, human, a little opinionated — a knowledgeable friend who lives here, not an aggregator.</w:t>
      </w:r>
    </w:p>
    <w:p>
      <w:pPr>
        <w:pStyle w:val="ListBullet"/>
        <w:spacing w:after="60"/>
      </w:pPr>
      <w:r>
        <w:rPr>
          <w:b/>
          <w:sz w:val="21"/>
        </w:rPr>
        <w:t>Independent and unbought.</w:t>
      </w:r>
      <w:r>
        <w:rPr>
          <w:sz w:val="21"/>
        </w:rPr>
        <w:t xml:space="preserve"> Lean into it: 'We work for our readers, not advertisers.' Editorial recommendations are credible precisely because nothing is paid placement.</w:t>
      </w:r>
    </w:p>
    <w:p>
      <w:pPr>
        <w:pStyle w:val="ListBullet"/>
        <w:spacing w:after="60"/>
      </w:pPr>
      <w:r>
        <w:rPr>
          <w:b/>
          <w:sz w:val="21"/>
        </w:rPr>
        <w:t>Curated, anti-clickbait.</w:t>
      </w:r>
      <w:r>
        <w:rPr>
          <w:sz w:val="21"/>
        </w:rPr>
        <w:t xml:space="preserve"> Respect the reader's time; quality and brevity over volume. The antidote to inbox overload and AI sludge.</w:t>
      </w:r>
    </w:p>
    <w:p>
      <w:pPr>
        <w:pStyle w:val="ListBullet"/>
        <w:spacing w:after="60"/>
      </w:pPr>
      <w:r>
        <w:rPr>
          <w:b/>
          <w:sz w:val="21"/>
        </w:rPr>
        <w:t>Pro-Chattanooga without boosterism.</w:t>
      </w:r>
      <w:r>
        <w:rPr>
          <w:sz w:val="21"/>
        </w:rPr>
        <w:t xml:space="preserve"> Celebrate the city and hold it accountable; genuine, not a chamber-of-commerce brochure.</w:t>
      </w:r>
    </w:p>
    <w:p>
      <w:pPr>
        <w:spacing w:before="200" w:after="80"/>
      </w:pPr>
      <w:r>
        <w:rPr>
          <w:b/>
          <w:color w:val="2A9D8F"/>
          <w:sz w:val="27"/>
        </w:rPr>
        <w:t>5.2 Topics that differentiate and compound into a moat</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1B3A4B"/>
          </w:tcPr>
          <w:p>
            <w:pPr>
              <w:jc w:val="left"/>
            </w:pPr>
            <w:r/>
            <w:r>
              <w:rPr>
                <w:b/>
                <w:color w:val="FFFFFF"/>
                <w:sz w:val="17"/>
              </w:rPr>
              <w:t>Topic pillar</w:t>
            </w:r>
          </w:p>
        </w:tc>
        <w:tc>
          <w:tcPr>
            <w:tcW w:type="dxa" w:w="3312"/>
            <w:shd w:val="clear" w:color="auto" w:fill="1B3A4B"/>
          </w:tcPr>
          <w:p>
            <w:pPr>
              <w:jc w:val="center"/>
            </w:pPr>
            <w:r/>
            <w:r>
              <w:rPr>
                <w:b/>
                <w:color w:val="FFFFFF"/>
                <w:sz w:val="17"/>
              </w:rPr>
              <w:t>Why it differentiates</w:t>
            </w:r>
          </w:p>
        </w:tc>
        <w:tc>
          <w:tcPr>
            <w:tcW w:type="dxa" w:w="2304"/>
            <w:shd w:val="clear" w:color="auto" w:fill="1B3A4B"/>
          </w:tcPr>
          <w:p>
            <w:pPr>
              <w:jc w:val="center"/>
            </w:pPr>
            <w:r/>
            <w:r>
              <w:rPr>
                <w:b/>
                <w:color w:val="FFFFFF"/>
                <w:sz w:val="17"/>
              </w:rPr>
              <w:t>Moat it builds</w:t>
            </w:r>
          </w:p>
        </w:tc>
      </w:tr>
      <w:tr>
        <w:tc>
          <w:tcPr>
            <w:tcW w:type="dxa" w:w="2736"/>
            <w:shd w:val="clear" w:color="auto" w:fill="EEF3F4"/>
          </w:tcPr>
          <w:p>
            <w:pPr>
              <w:jc w:val="left"/>
            </w:pPr>
            <w:r/>
            <w:r>
              <w:rPr>
                <w:b/>
                <w:color w:val="1B3A4B"/>
                <w:sz w:val="17"/>
              </w:rPr>
              <w:t>Curated 'what to do', done with taste</w:t>
            </w:r>
          </w:p>
        </w:tc>
        <w:tc>
          <w:tcPr>
            <w:tcW w:type="dxa" w:w="3312"/>
            <w:shd w:val="clear" w:color="auto" w:fill="EEF3F4"/>
          </w:tcPr>
          <w:p>
            <w:pPr>
              <w:jc w:val="center"/>
            </w:pPr>
            <w:r/>
            <w:r>
              <w:rPr>
                <w:b w:val="0"/>
                <w:sz w:val="17"/>
              </w:rPr>
              <w:t>Listings are commodities; judgment isn't</w:t>
            </w:r>
          </w:p>
        </w:tc>
        <w:tc>
          <w:tcPr>
            <w:tcW w:type="dxa" w:w="2304"/>
            <w:shd w:val="clear" w:color="auto" w:fill="EEF3F4"/>
          </w:tcPr>
          <w:p>
            <w:pPr>
              <w:jc w:val="center"/>
            </w:pPr>
            <w:r/>
            <w:r>
              <w:rPr>
                <w:b w:val="0"/>
                <w:sz w:val="17"/>
              </w:rPr>
              <w:t>Voice &amp; taste; feeds events</w:t>
            </w:r>
          </w:p>
        </w:tc>
      </w:tr>
      <w:tr>
        <w:tc>
          <w:tcPr>
            <w:tcW w:type="dxa" w:w="2736"/>
            <w:shd w:val="clear" w:color="auto" w:fill="FFFFFF"/>
          </w:tcPr>
          <w:p>
            <w:pPr>
              <w:jc w:val="left"/>
            </w:pPr>
            <w:r/>
            <w:r>
              <w:rPr>
                <w:b/>
                <w:color w:val="1B3A4B"/>
                <w:sz w:val="17"/>
              </w:rPr>
              <w:t>Original recommendations &amp; reviews</w:t>
            </w:r>
          </w:p>
        </w:tc>
        <w:tc>
          <w:tcPr>
            <w:tcW w:type="dxa" w:w="3312"/>
            <w:shd w:val="clear" w:color="auto" w:fill="FFFFFF"/>
          </w:tcPr>
          <w:p>
            <w:pPr>
              <w:jc w:val="center"/>
            </w:pPr>
            <w:r/>
            <w:r>
              <w:rPr>
                <w:b w:val="0"/>
                <w:sz w:val="17"/>
              </w:rPr>
              <w:t>Can't be AI-scraped; earns trust</w:t>
            </w:r>
          </w:p>
        </w:tc>
        <w:tc>
          <w:tcPr>
            <w:tcW w:type="dxa" w:w="2304"/>
            <w:shd w:val="clear" w:color="auto" w:fill="FFFFFF"/>
          </w:tcPr>
          <w:p>
            <w:pPr>
              <w:jc w:val="center"/>
            </w:pPr>
            <w:r/>
            <w:r>
              <w:rPr>
                <w:b w:val="0"/>
                <w:sz w:val="17"/>
              </w:rPr>
              <w:t>Brand authority</w:t>
            </w:r>
          </w:p>
        </w:tc>
      </w:tr>
      <w:tr>
        <w:tc>
          <w:tcPr>
            <w:tcW w:type="dxa" w:w="2736"/>
            <w:shd w:val="clear" w:color="auto" w:fill="EEF3F4"/>
          </w:tcPr>
          <w:p>
            <w:pPr>
              <w:jc w:val="left"/>
            </w:pPr>
            <w:r/>
            <w:r>
              <w:rPr>
                <w:b/>
                <w:color w:val="1B3A4B"/>
                <w:sz w:val="17"/>
              </w:rPr>
              <w:t>Accountability / development / business depth</w:t>
            </w:r>
          </w:p>
        </w:tc>
        <w:tc>
          <w:tcPr>
            <w:tcW w:type="dxa" w:w="3312"/>
            <w:shd w:val="clear" w:color="auto" w:fill="EEF3F4"/>
          </w:tcPr>
          <w:p>
            <w:pPr>
              <w:jc w:val="center"/>
            </w:pPr>
            <w:r/>
            <w:r>
              <w:rPr>
                <w:b w:val="0"/>
                <w:sz w:val="17"/>
              </w:rPr>
              <w:t>Free competitors won't fund real reporting</w:t>
            </w:r>
          </w:p>
        </w:tc>
        <w:tc>
          <w:tcPr>
            <w:tcW w:type="dxa" w:w="2304"/>
            <w:shd w:val="clear" w:color="auto" w:fill="EEF3F4"/>
          </w:tcPr>
          <w:p>
            <w:pPr>
              <w:jc w:val="center"/>
            </w:pPr>
            <w:r/>
            <w:r>
              <w:rPr>
                <w:b w:val="0"/>
                <w:sz w:val="17"/>
              </w:rPr>
              <w:t>Indispensability</w:t>
            </w:r>
          </w:p>
        </w:tc>
      </w:tr>
      <w:tr>
        <w:tc>
          <w:tcPr>
            <w:tcW w:type="dxa" w:w="2736"/>
            <w:shd w:val="clear" w:color="auto" w:fill="FFFFFF"/>
          </w:tcPr>
          <w:p>
            <w:pPr>
              <w:jc w:val="left"/>
            </w:pPr>
            <w:r/>
            <w:r>
              <w:rPr>
                <w:b/>
                <w:color w:val="1B3A4B"/>
                <w:sz w:val="17"/>
              </w:rPr>
              <w:t>Newcomer orientation</w:t>
            </w:r>
          </w:p>
        </w:tc>
        <w:tc>
          <w:tcPr>
            <w:tcW w:type="dxa" w:w="3312"/>
            <w:shd w:val="clear" w:color="auto" w:fill="FFFFFF"/>
          </w:tcPr>
          <w:p>
            <w:pPr>
              <w:jc w:val="center"/>
            </w:pPr>
            <w:r/>
            <w:r>
              <w:rPr>
                <w:b w:val="0"/>
                <w:sz w:val="17"/>
              </w:rPr>
              <w:t>Serves the fastest-growing audience segment</w:t>
            </w:r>
          </w:p>
        </w:tc>
        <w:tc>
          <w:tcPr>
            <w:tcW w:type="dxa" w:w="2304"/>
            <w:shd w:val="clear" w:color="auto" w:fill="FFFFFF"/>
          </w:tcPr>
          <w:p>
            <w:pPr>
              <w:jc w:val="center"/>
            </w:pPr>
            <w:r/>
            <w:r>
              <w:rPr>
                <w:b w:val="0"/>
                <w:sz w:val="17"/>
              </w:rPr>
              <w:t>High-LTV reader relationships</w:t>
            </w:r>
          </w:p>
        </w:tc>
      </w:tr>
      <w:tr>
        <w:tc>
          <w:tcPr>
            <w:tcW w:type="dxa" w:w="2736"/>
            <w:shd w:val="clear" w:color="auto" w:fill="EEF3F4"/>
          </w:tcPr>
          <w:p>
            <w:pPr>
              <w:jc w:val="left"/>
            </w:pPr>
            <w:r/>
            <w:r>
              <w:rPr>
                <w:b/>
                <w:color w:val="1B3A4B"/>
                <w:sz w:val="17"/>
              </w:rPr>
              <w:t>Community &amp; reader features</w:t>
            </w:r>
          </w:p>
        </w:tc>
        <w:tc>
          <w:tcPr>
            <w:tcW w:type="dxa" w:w="3312"/>
            <w:shd w:val="clear" w:color="auto" w:fill="EEF3F4"/>
          </w:tcPr>
          <w:p>
            <w:pPr>
              <w:jc w:val="center"/>
            </w:pPr>
            <w:r/>
            <w:r>
              <w:rPr>
                <w:b w:val="0"/>
                <w:sz w:val="17"/>
              </w:rPr>
              <w:t>Members see themselves in it</w:t>
            </w:r>
          </w:p>
        </w:tc>
        <w:tc>
          <w:tcPr>
            <w:tcW w:type="dxa" w:w="2304"/>
            <w:shd w:val="clear" w:color="auto" w:fill="EEF3F4"/>
          </w:tcPr>
          <w:p>
            <w:pPr>
              <w:jc w:val="center"/>
            </w:pPr>
            <w:r/>
            <w:r>
              <w:rPr>
                <w:b w:val="0"/>
                <w:sz w:val="17"/>
              </w:rPr>
              <w:t>Belonging; network effects</w:t>
            </w:r>
          </w:p>
        </w:tc>
      </w:tr>
      <w:tr>
        <w:tc>
          <w:tcPr>
            <w:tcW w:type="dxa" w:w="2736"/>
            <w:shd w:val="clear" w:color="auto" w:fill="FFFFFF"/>
          </w:tcPr>
          <w:p>
            <w:pPr>
              <w:jc w:val="left"/>
            </w:pPr>
            <w:r/>
            <w:r>
              <w:rPr>
                <w:b/>
                <w:color w:val="1B3A4B"/>
                <w:sz w:val="17"/>
              </w:rPr>
              <w:t>Events as content / content as events</w:t>
            </w:r>
          </w:p>
        </w:tc>
        <w:tc>
          <w:tcPr>
            <w:tcW w:type="dxa" w:w="3312"/>
            <w:shd w:val="clear" w:color="auto" w:fill="FFFFFF"/>
          </w:tcPr>
          <w:p>
            <w:pPr>
              <w:jc w:val="center"/>
            </w:pPr>
            <w:r/>
            <w:r>
              <w:rPr>
                <w:b w:val="0"/>
                <w:sz w:val="17"/>
              </w:rPr>
              <w:t>Owns experiences, not just attention</w:t>
            </w:r>
          </w:p>
        </w:tc>
        <w:tc>
          <w:tcPr>
            <w:tcW w:type="dxa" w:w="2304"/>
            <w:shd w:val="clear" w:color="auto" w:fill="FFFFFF"/>
          </w:tcPr>
          <w:p>
            <w:pPr>
              <w:jc w:val="center"/>
            </w:pPr>
            <w:r/>
            <w:r>
              <w:rPr>
                <w:b w:val="0"/>
                <w:sz w:val="17"/>
              </w:rPr>
              <w:t>Switching costs; relationships</w:t>
            </w:r>
          </w:p>
        </w:tc>
      </w:tr>
    </w:tbl>
    <w:p>
      <w:pPr>
        <w:spacing w:after="40"/>
      </w:pPr>
    </w:p>
    <w:p>
      <w:pPr>
        <w:spacing w:after="200"/>
        <w:jc w:val="left"/>
      </w:pPr>
      <w:r>
        <w:rPr>
          <w:i/>
          <w:color w:val="6B7B85"/>
          <w:sz w:val="17"/>
        </w:rPr>
        <w:t>Table A6. Topic strategy. Each pillar is chosen because it is hard to copy and it deepens the audience relationship.</w:t>
      </w:r>
    </w:p>
    <w:p>
      <w:pPr>
        <w:spacing w:after="120"/>
        <w:jc w:val="left"/>
      </w:pPr>
      <w:r>
        <w:rPr>
          <w:b/>
          <w:i w:val="0"/>
          <w:sz w:val="22"/>
        </w:rPr>
        <w:t>The moat is cumulative.</w:t>
      </w:r>
      <w:r>
        <w:rPr>
          <w:i w:val="0"/>
          <w:sz w:val="22"/>
        </w:rPr>
        <w:t xml:space="preserve"> No single feature is defensible alone, but stacked together — an owned email list, advertiser-free trust, a voice AI can't replicate, an events-and-community network, and years of local relationships — they become very hard to dislodge. A new entrant would have to rebuild all five from zero, in a city where Brief Scout is already the trusted name.</w:t>
      </w:r>
    </w:p>
    <w:p>
      <w:pPr>
        <w:jc w:val="center"/>
      </w:pPr>
      <w:r>
        <w:drawing>
          <wp:inline xmlns:a="http://schemas.openxmlformats.org/drawingml/2006/main" xmlns:pic="http://schemas.openxmlformats.org/drawingml/2006/picture">
            <wp:extent cx="5852160" cy="3275800"/>
            <wp:docPr id="4" name="Picture 4"/>
            <wp:cNvGraphicFramePr>
              <a:graphicFrameLocks noChangeAspect="1"/>
            </wp:cNvGraphicFramePr>
            <a:graphic>
              <a:graphicData uri="http://schemas.openxmlformats.org/drawingml/2006/picture">
                <pic:pic>
                  <pic:nvPicPr>
                    <pic:cNvPr id="0" name="fig_moat.png"/>
                    <pic:cNvPicPr/>
                  </pic:nvPicPr>
                  <pic:blipFill>
                    <a:blip r:embed="rId12"/>
                    <a:stretch>
                      <a:fillRect/>
                    </a:stretch>
                  </pic:blipFill>
                  <pic:spPr>
                    <a:xfrm>
                      <a:off x="0" y="0"/>
                      <a:ext cx="5852160" cy="3275800"/>
                    </a:xfrm>
                    <a:prstGeom prst="rect"/>
                  </pic:spPr>
                </pic:pic>
              </a:graphicData>
            </a:graphic>
          </wp:inline>
        </w:drawing>
      </w:r>
    </w:p>
    <w:p>
      <w:pPr>
        <w:spacing w:after="240"/>
        <w:jc w:val="center"/>
      </w:pPr>
      <w:r>
        <w:rPr>
          <w:i/>
          <w:color w:val="6B7B85"/>
          <w:sz w:val="17"/>
        </w:rPr>
        <w:t>Figure A4. The moat stack — five reinforcing layers of defensibility, anchored by reader trust and local incumbency.</w:t>
      </w:r>
    </w:p>
    <w:p>
      <w:pPr>
        <w:spacing w:before="280" w:after="80"/>
        <w:pBdr>
          <w:bottom w:val="single" w:sz="6" w:space="2" w:color="2A9D8F"/>
        </w:pBdr>
      </w:pPr>
      <w:r>
        <w:rPr>
          <w:b/>
          <w:color w:val="1B3A4B"/>
          <w:sz w:val="34"/>
        </w:rPr>
        <w:t>6. Bottom Line</w:t>
      </w:r>
    </w:p>
    <w:p>
      <w:pPr>
        <w:spacing w:after="120"/>
        <w:jc w:val="both"/>
      </w:pPr>
      <w:r>
        <w:rPr>
          <w:i w:val="0"/>
          <w:sz w:val="22"/>
        </w:rPr>
        <w:t>Year 1 is a bootstrapped validation year that ends with cash in the bank and all three revenue streams proven — no funding required. AI, kept strictly human-in-the-loop, makes a solo founder produce like a small team and frees time for the defensible work. With a documented, profitable playbook, the founder can then choose growth on their own terms: verticals first (Year 2), a second market only once the model is proven (Year 3+), and outside capital only to accelerate a network — raised from strength, not need. Throughout, the brand wins on the one thing competitors can't buy: the trust of readers who know the Scout works for them.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