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1  |  Sprint 1 Consolidation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29 May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PM-3:00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Internal team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the workshop output</w:t>
      </w:r>
    </w:p>
    <w:p>
      <w:pPr>
        <w:pStyle w:val="ListBullet"/>
        <w:spacing w:after="40"/>
        <w:ind w:left="255" w:hanging="142"/>
      </w:pPr>
      <w:r>
        <w:rPr>
          <w:sz w:val="18"/>
        </w:rPr>
        <w:t>Identify duplicated or unclear scope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initial ownership</w:t>
      </w:r>
    </w:p>
    <w:p>
      <w:pPr>
        <w:pStyle w:val="ListBullet"/>
        <w:spacing w:after="40"/>
        <w:ind w:left="255" w:hanging="142"/>
      </w:pPr>
      <w:r>
        <w:rPr>
          <w:sz w:val="18"/>
        </w:rPr>
        <w:t>Prepare questions for the Sponsor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Li Hourui presented the integrated proposal and the team removed repeated or overly broad wording before Sponsor review.</w:t>
      </w:r>
    </w:p>
    <w:p>
      <w:pPr>
        <w:pStyle w:val="ListBullet"/>
        <w:spacing w:after="60"/>
        <w:ind w:left="255" w:hanging="142"/>
      </w:pPr>
      <w:r>
        <w:rPr>
          <w:sz w:val="19"/>
        </w:rPr>
        <w:t>Shi Zhengqi grouped requirements by module while Du Kun translated the main user journey into page sections.</w:t>
      </w:r>
    </w:p>
    <w:p>
      <w:pPr>
        <w:pStyle w:val="ListBullet"/>
        <w:spacing w:after="60"/>
        <w:ind w:left="255" w:hanging="142"/>
      </w:pPr>
      <w:r>
        <w:rPr>
          <w:sz w:val="19"/>
        </w:rPr>
        <w:t>Zhou Yaoyin identified the need for explicit AI consent and allowed-input rules. Jin Zihan listed User, Profile, Check-in, Event and relationship data as early entities.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prepared focused questions about social scope, external registration, AI limits and privacy.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Sponsor review will use a structured draft, not a frozen-scope claim.</w:t>
      </w:r>
    </w:p>
    <w:p>
      <w:pPr>
        <w:pStyle w:val="ListBullet"/>
        <w:spacing w:after="60"/>
        <w:ind w:left="255" w:hanging="142"/>
      </w:pPr>
      <w:r>
        <w:rPr>
          <w:sz w:val="19"/>
        </w:rPr>
        <w:t>Each owner must label assumptions separately from confirmed decisions.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Finalise the review deck and Sponsor questions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4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Clean headings and remove duplicated requirements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4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initial page-flow sketches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4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AI/privacy boundary notes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4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entity and login questions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4 June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Whether ordinary user chat is in scope</w:t>
      </w:r>
    </w:p>
    <w:p>
      <w:pPr>
        <w:pStyle w:val="ListBullet"/>
        <w:spacing w:after="40"/>
        <w:ind w:left="255" w:hanging="142"/>
      </w:pPr>
      <w:r>
        <w:rPr>
          <w:sz w:val="18"/>
        </w:rPr>
        <w:t>Whether event registration is internal or external</w:t>
      </w:r>
    </w:p>
    <w:p>
      <w:pPr>
        <w:pStyle w:val="ListBullet"/>
        <w:spacing w:after="40"/>
        <w:ind w:left="255" w:hanging="142"/>
      </w:pPr>
      <w:r>
        <w:rPr>
          <w:sz w:val="18"/>
        </w:rPr>
        <w:t>How much user data the AI may read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1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