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Meeting Minutes</w:t>
      </w:r>
    </w:p>
    <w:p>
      <w:pPr>
        <w:spacing w:after="140"/>
      </w:pPr>
      <w:r>
        <w:rPr>
          <w:b/>
          <w:color w:val="1A8F8A"/>
          <w:sz w:val="22"/>
        </w:rPr>
        <w:t>Team 5 - Sprint 4  |  Sprint 4 Internal Review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1219"/>
            <w:vAlign w:val="center"/>
            <w:tcBorders>
              <w:bottom w:val="single" w:sz="5" w:color="D5DEE5"/>
            </w:tcBorders>
            <w:shd w:fill="EEF3F7"/>
          </w:tcPr>
          <w:p>
            <w:pPr>
              <w:spacing w:after="20"/>
            </w:pPr>
            <w:r>
              <w:rPr>
                <w:b/>
                <w:color w:val="17324D"/>
                <w:sz w:val="17"/>
              </w:rPr>
              <w:t>Date</w:t>
            </w:r>
          </w:p>
        </w:tc>
        <w:tc>
          <w:tcPr>
            <w:tcW w:type="dxa" w:w="2976"/>
            <w:vAlign w:val="center"/>
            <w:tcBorders>
              <w:bottom w:val="single" w:sz="5" w:color="D5DEE5"/>
            </w:tcBorders>
          </w:tcPr>
          <w:p>
            <w:pPr>
              <w:spacing w:after="20"/>
            </w:pPr>
            <w:r>
              <w:rPr>
                <w:sz w:val="17"/>
              </w:rPr>
              <w:t>11 July 2026</w:t>
            </w:r>
          </w:p>
        </w:tc>
        <w:tc>
          <w:tcPr>
            <w:tcW w:type="dxa" w:w="1219"/>
            <w:vAlign w:val="center"/>
            <w:tcBorders>
              <w:bottom w:val="single" w:sz="5" w:color="D5DEE5"/>
            </w:tcBorders>
            <w:shd w:fill="EEF3F7"/>
          </w:tcPr>
          <w:p>
            <w:pPr>
              <w:spacing w:after="20"/>
            </w:pPr>
            <w:r>
              <w:rPr>
                <w:b/>
                <w:color w:val="17324D"/>
                <w:sz w:val="17"/>
              </w:rPr>
              <w:t>Time</w:t>
            </w:r>
          </w:p>
        </w:tc>
        <w:tc>
          <w:tcPr>
            <w:tcW w:type="dxa" w:w="4082"/>
            <w:vAlign w:val="center"/>
            <w:tcBorders>
              <w:bottom w:val="single" w:sz="5" w:color="D5DEE5"/>
            </w:tcBorders>
          </w:tcPr>
          <w:p>
            <w:pPr>
              <w:spacing w:after="20"/>
            </w:pPr>
            <w:r>
              <w:rPr>
                <w:sz w:val="17"/>
              </w:rPr>
              <w:t>2:00 PM-3:00 PM</w:t>
            </w:r>
          </w:p>
        </w:tc>
      </w:tr>
      <w:tr>
        <w:tc>
          <w:tcPr>
            <w:tcW w:type="dxa" w:w="1219"/>
            <w:vAlign w:val="center"/>
            <w:tcBorders>
              <w:bottom w:val="single" w:sz="5" w:color="D5DEE5"/>
            </w:tcBorders>
            <w:shd w:fill="EEF3F7"/>
          </w:tcPr>
          <w:p>
            <w:pPr>
              <w:spacing w:after="20"/>
            </w:pPr>
            <w:r>
              <w:rPr>
                <w:b/>
                <w:color w:val="17324D"/>
                <w:sz w:val="17"/>
              </w:rPr>
              <w:t>Method</w:t>
            </w:r>
          </w:p>
        </w:tc>
        <w:tc>
          <w:tcPr>
            <w:tcW w:type="dxa" w:w="2976"/>
            <w:vAlign w:val="center"/>
            <w:tcBorders>
              <w:bottom w:val="single" w:sz="5" w:color="D5DEE5"/>
            </w:tcBorders>
          </w:tcPr>
          <w:p>
            <w:pPr>
              <w:spacing w:after="20"/>
            </w:pPr>
            <w:r>
              <w:rPr>
                <w:sz w:val="17"/>
              </w:rPr>
              <w:t>Internal team review</w:t>
            </w:r>
          </w:p>
        </w:tc>
        <w:tc>
          <w:tcPr>
            <w:tcW w:type="dxa" w:w="1219"/>
            <w:vAlign w:val="center"/>
            <w:tcBorders>
              <w:bottom w:val="single" w:sz="5" w:color="D5DEE5"/>
            </w:tcBorders>
            <w:shd w:fill="EEF3F7"/>
          </w:tcPr>
          <w:p>
            <w:pPr>
              <w:spacing w:after="20"/>
            </w:pPr>
            <w:r>
              <w:rPr>
                <w:b/>
                <w:color w:val="17324D"/>
                <w:sz w:val="17"/>
              </w:rPr>
              <w:t>Chair</w:t>
            </w:r>
          </w:p>
        </w:tc>
        <w:tc>
          <w:tcPr>
            <w:tcW w:type="dxa" w:w="4082"/>
            <w:vAlign w:val="center"/>
            <w:tcBorders>
              <w:bottom w:val="single" w:sz="5" w:color="D5DEE5"/>
            </w:tcBorders>
          </w:tcPr>
          <w:p>
            <w:pPr>
              <w:spacing w:after="20"/>
            </w:pPr>
            <w:r>
              <w:rPr>
                <w:sz w:val="17"/>
              </w:rPr>
              <w:t>Li Hourui</w:t>
            </w:r>
          </w:p>
        </w:tc>
      </w:tr>
      <w:tr>
        <w:tc>
          <w:tcPr>
            <w:tcW w:type="dxa" w:w="1219"/>
            <w:vAlign w:val="center"/>
            <w:tcBorders>
              <w:bottom w:val="single" w:sz="5" w:color="D5DEE5"/>
            </w:tcBorders>
            <w:shd w:fill="EEF3F7"/>
          </w:tcPr>
          <w:p>
            <w:pPr>
              <w:spacing w:after="20"/>
            </w:pPr>
            <w:r>
              <w:rPr>
                <w:b/>
                <w:color w:val="17324D"/>
                <w:sz w:val="17"/>
              </w:rPr>
              <w:t>Minute owner</w:t>
            </w:r>
          </w:p>
        </w:tc>
        <w:tc>
          <w:tcPr>
            <w:tcW w:type="dxa" w:w="2976"/>
            <w:vAlign w:val="center"/>
            <w:tcBorders>
              <w:bottom w:val="single" w:sz="5" w:color="D5DEE5"/>
            </w:tcBorders>
          </w:tcPr>
          <w:p>
            <w:pPr>
              <w:spacing w:after="20"/>
            </w:pPr>
            <w:r>
              <w:rPr>
                <w:sz w:val="17"/>
              </w:rPr>
              <w:t>Shi Zhengqi</w:t>
            </w:r>
          </w:p>
        </w:tc>
        <w:tc>
          <w:tcPr>
            <w:tcW w:type="dxa" w:w="1219"/>
            <w:vAlign w:val="center"/>
            <w:tcBorders>
              <w:bottom w:val="single" w:sz="5" w:color="D5DEE5"/>
            </w:tcBorders>
            <w:shd w:fill="EEF3F7"/>
          </w:tcPr>
          <w:p>
            <w:pPr>
              <w:spacing w:after="20"/>
            </w:pPr>
            <w:r>
              <w:rPr>
                <w:b/>
                <w:color w:val="17324D"/>
                <w:sz w:val="17"/>
              </w:rPr>
              <w:t>Apologies</w:t>
            </w:r>
          </w:p>
        </w:tc>
        <w:tc>
          <w:tcPr>
            <w:tcW w:type="dxa" w:w="4082"/>
            <w:vAlign w:val="center"/>
            <w:tcBorders>
              <w:bottom w:val="single" w:sz="5" w:color="D5DEE5"/>
            </w:tcBorders>
          </w:tcPr>
          <w:p>
            <w:pPr>
              <w:spacing w:after="20"/>
            </w:pPr>
            <w:r>
              <w:rPr>
                <w:sz w:val="17"/>
              </w:rPr>
              <w:t>None recorded</w:t>
            </w:r>
          </w:p>
        </w:tc>
      </w:tr>
    </w:tbl>
    <w:p>
      <w:pPr>
        <w:pStyle w:val="Heading1"/>
        <w:spacing w:before="120" w:after="60"/>
      </w:pPr>
      <w:r>
        <w:t>Attendees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5F4"/>
            <w:tcBorders>
              <w:top w:val="single" w:sz="4" w:color="1A8F8A"/>
              <w:bottom w:val="single" w:sz="4" w:color="1A8F8A"/>
            </w:tcBorders>
          </w:tcPr>
          <w:p>
            <w:r>
              <w:rPr>
                <w:sz w:val="16"/>
              </w:rPr>
              <w:t>Li Hourui - PM / Scrum Master / Review Lead  |  Shi Zhengqi - DPM / Requirements and Documentation  |  Du Kun - HCI / UI Designer  |  Zhou Yaoyin - AI / Algorithm / Privacy Lead  |  Jin Zihan - ERD / UAT / Backend Documentation</w:t>
            </w:r>
          </w:p>
        </w:tc>
      </w:tr>
    </w:tbl>
    <w:p>
      <w:pPr>
        <w:pStyle w:val="Heading1"/>
        <w:spacing w:before="120" w:after="60"/>
      </w:pPr>
      <w:r>
        <w:t>Agenda</w:t>
      </w:r>
    </w:p>
    <w:p>
      <w:pPr>
        <w:pStyle w:val="ListBullet"/>
        <w:spacing w:after="40"/>
        <w:ind w:left="255" w:hanging="142"/>
      </w:pPr>
      <w:r>
        <w:rPr>
          <w:sz w:val="18"/>
        </w:rPr>
        <w:t>Confirm Sprint 3/4 scope updates</w:t>
      </w:r>
    </w:p>
    <w:p>
      <w:pPr>
        <w:pStyle w:val="ListBullet"/>
        <w:spacing w:after="40"/>
        <w:ind w:left="255" w:hanging="142"/>
      </w:pPr>
      <w:r>
        <w:rPr>
          <w:sz w:val="18"/>
        </w:rPr>
        <w:t>Align Home, Check-in, Events and Friends</w:t>
      </w:r>
    </w:p>
    <w:p>
      <w:pPr>
        <w:pStyle w:val="ListBullet"/>
        <w:spacing w:after="40"/>
        <w:ind w:left="255" w:hanging="142"/>
      </w:pPr>
      <w:r>
        <w:rPr>
          <w:sz w:val="18"/>
        </w:rPr>
        <w:t>Review recommendation order</w:t>
      </w:r>
    </w:p>
    <w:p>
      <w:pPr>
        <w:pStyle w:val="ListBullet"/>
        <w:spacing w:after="40"/>
        <w:ind w:left="255" w:hanging="142"/>
      </w:pPr>
      <w:r>
        <w:rPr>
          <w:sz w:val="18"/>
        </w:rPr>
        <w:t>Check AI/privacy, UAT, ERD and Notion evidence</w:t>
      </w:r>
    </w:p>
    <w:p>
      <w:pPr>
        <w:pStyle w:val="Heading1"/>
        <w:spacing w:before="120" w:after="60"/>
      </w:pPr>
      <w:r>
        <w:t>Meeting Notes</w:t>
      </w:r>
    </w:p>
    <w:p>
      <w:pPr>
        <w:pStyle w:val="ListBullet"/>
        <w:spacing w:after="60"/>
        <w:ind w:left="255" w:hanging="142"/>
      </w:pPr>
      <w:r>
        <w:rPr>
          <w:sz w:val="19"/>
        </w:rPr>
        <w:t>The team confirmed that Group remains out of scope and prioritised Home, Check-in, Events and Friends visibility.</w:t>
      </w:r>
    </w:p>
    <w:p>
      <w:pPr>
        <w:pStyle w:val="ListBullet"/>
        <w:spacing w:after="60"/>
        <w:ind w:left="255" w:hanging="142"/>
      </w:pPr>
      <w:r>
        <w:rPr>
          <w:sz w:val="19"/>
        </w:rPr>
        <w:t>Home includes People You May Want to Know. Recommendations use permitted interests, approximate region and shared event interest.</w:t>
      </w:r>
    </w:p>
    <w:p>
      <w:pPr>
        <w:pStyle w:val="ListBullet"/>
        <w:spacing w:after="60"/>
        <w:ind w:left="255" w:hanging="142"/>
      </w:pPr>
      <w:r>
        <w:rPr>
          <w:sz w:val="19"/>
        </w:rPr>
        <w:t>The friend-request flow requires consent before a friendship exists. Friend activity and event participant details must respect visibility settings.</w:t>
      </w:r>
    </w:p>
    <w:p>
      <w:pPr>
        <w:pStyle w:val="ListBullet"/>
        <w:spacing w:after="60"/>
        <w:ind w:left="255" w:hanging="142"/>
      </w:pPr>
      <w:r>
        <w:rPr>
          <w:sz w:val="19"/>
        </w:rPr>
        <w:t>AI context and Check-in support use only consent-based data, with no mental-health inference or private-data leakage.</w:t>
      </w:r>
    </w:p>
    <w:p>
      <w:pPr>
        <w:pStyle w:val="ListBullet"/>
        <w:spacing w:after="60"/>
        <w:ind w:left="255" w:hanging="142"/>
      </w:pPr>
      <w:r>
        <w:rPr>
          <w:sz w:val="19"/>
        </w:rPr>
        <w:t>Weather remains a supporting mock/fallback and must not block core functions.</w:t>
      </w:r>
    </w:p>
    <w:p>
      <w:r>
        <w:br w:type="page"/>
      </w:r>
    </w:p>
    <w:p>
      <w:pPr>
        <w:pStyle w:val="Heading1"/>
        <w:spacing w:before="120" w:after="60"/>
      </w:pPr>
      <w:r>
        <w:t>Decisions</w:t>
      </w:r>
    </w:p>
    <w:p>
      <w:pPr>
        <w:pStyle w:val="ListBullet"/>
        <w:spacing w:after="60"/>
        <w:ind w:left="255" w:hanging="142"/>
      </w:pPr>
      <w:r>
        <w:rPr>
          <w:sz w:val="19"/>
        </w:rPr>
        <w:t>Exact module terminology must match across prototype, requirements, UAT, ERD and Notion.</w:t>
      </w:r>
    </w:p>
    <w:p>
      <w:pPr>
        <w:pStyle w:val="ListBullet"/>
        <w:spacing w:after="60"/>
        <w:ind w:left="255" w:hanging="142"/>
      </w:pPr>
      <w:r>
        <w:rPr>
          <w:sz w:val="19"/>
        </w:rPr>
        <w:t>Aggregate counts are used when user identities are not visible.</w:t>
      </w:r>
    </w:p>
    <w:p>
      <w:pPr>
        <w:pStyle w:val="ListBullet"/>
        <w:spacing w:after="60"/>
        <w:ind w:left="255" w:hanging="142"/>
      </w:pPr>
      <w:r>
        <w:rPr>
          <w:sz w:val="19"/>
        </w:rPr>
        <w:t>Expanded friend search, blocking and group visibility remain future work.</w:t>
      </w:r>
    </w:p>
    <w:p>
      <w:pPr>
        <w:pStyle w:val="Heading1"/>
        <w:spacing w:before="120" w:after="60"/>
      </w:pPr>
      <w:r>
        <w:t>Action Items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6"/>
        <w:gridCol w:w="2268"/>
        <w:gridCol w:w="1984"/>
      </w:tblGrid>
      <w:tr>
        <w:tc>
          <w:tcPr>
            <w:tcW w:type="dxa" w:w="3494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Action</w:t>
            </w:r>
          </w:p>
        </w:tc>
        <w:tc>
          <w:tcPr>
            <w:tcW w:type="dxa" w:w="3494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Owner</w:t>
            </w:r>
          </w:p>
        </w:tc>
        <w:tc>
          <w:tcPr>
            <w:tcW w:type="dxa" w:w="3494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Due date</w:t>
            </w:r>
          </w:p>
        </w:tc>
      </w:tr>
      <w:tr>
        <w:tc>
          <w:tcPr>
            <w:tcW w:type="dxa" w:w="5386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Complete final PM review and Notion status check</w:t>
            </w:r>
          </w:p>
        </w:tc>
        <w:tc>
          <w:tcPr>
            <w:tcW w:type="dxa" w:w="2268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Li Hourui</w:t>
            </w:r>
          </w:p>
        </w:tc>
        <w:tc>
          <w:tcPr>
            <w:tcW w:type="dxa" w:w="1984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13 July 2026</w:t>
            </w:r>
          </w:p>
        </w:tc>
      </w:tr>
      <w:tr>
        <w:tc>
          <w:tcPr>
            <w:tcW w:type="dxa" w:w="5386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Finalise requirements updates</w:t>
            </w:r>
          </w:p>
        </w:tc>
        <w:tc>
          <w:tcPr>
            <w:tcW w:type="dxa" w:w="2268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Shi Zhengqi</w:t>
            </w:r>
          </w:p>
        </w:tc>
        <w:tc>
          <w:tcPr>
            <w:tcW w:type="dxa" w:w="1984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13 July 2026</w:t>
            </w:r>
          </w:p>
        </w:tc>
      </w:tr>
      <w:tr>
        <w:tc>
          <w:tcPr>
            <w:tcW w:type="dxa" w:w="5386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Submit revised HCI/prototype screens</w:t>
            </w:r>
          </w:p>
        </w:tc>
        <w:tc>
          <w:tcPr>
            <w:tcW w:type="dxa" w:w="2268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Du Kun</w:t>
            </w:r>
          </w:p>
        </w:tc>
        <w:tc>
          <w:tcPr>
            <w:tcW w:type="dxa" w:w="1984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13 July 2026</w:t>
            </w:r>
          </w:p>
        </w:tc>
      </w:tr>
      <w:tr>
        <w:tc>
          <w:tcPr>
            <w:tcW w:type="dxa" w:w="5386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Submit AI/task-output package</w:t>
            </w:r>
          </w:p>
        </w:tc>
        <w:tc>
          <w:tcPr>
            <w:tcW w:type="dxa" w:w="2268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Zhou Yaoyin</w:t>
            </w:r>
          </w:p>
        </w:tc>
        <w:tc>
          <w:tcPr>
            <w:tcW w:type="dxa" w:w="1984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13 July 2026</w:t>
            </w:r>
          </w:p>
        </w:tc>
      </w:tr>
      <w:tr>
        <w:tc>
          <w:tcPr>
            <w:tcW w:type="dxa" w:w="5386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Submit UAT scenarios and ERD</w:t>
            </w:r>
          </w:p>
        </w:tc>
        <w:tc>
          <w:tcPr>
            <w:tcW w:type="dxa" w:w="2268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Jin Zihan</w:t>
            </w:r>
          </w:p>
        </w:tc>
        <w:tc>
          <w:tcPr>
            <w:tcW w:type="dxa" w:w="1984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13 July 2026</w:t>
            </w:r>
          </w:p>
        </w:tc>
      </w:tr>
    </w:tbl>
    <w:p>
      <w:pPr>
        <w:pStyle w:val="Heading1"/>
        <w:spacing w:before="120" w:after="60"/>
      </w:pPr>
      <w:r>
        <w:t>Parking Lot / Follow-up Questions</w:t>
      </w:r>
    </w:p>
    <w:p>
      <w:pPr>
        <w:pStyle w:val="ListBullet"/>
        <w:spacing w:after="40"/>
        <w:ind w:left="255" w:hanging="142"/>
      </w:pPr>
      <w:r>
        <w:rPr>
          <w:sz w:val="18"/>
        </w:rPr>
        <w:t>Final wording for Going versus external booking</w:t>
      </w:r>
    </w:p>
    <w:p>
      <w:pPr>
        <w:pStyle w:val="ListBullet"/>
        <w:spacing w:after="40"/>
        <w:ind w:left="255" w:hanging="142"/>
      </w:pPr>
      <w:r>
        <w:rPr>
          <w:sz w:val="18"/>
        </w:rPr>
        <w:t>Whether weather remains mock-only</w:t>
      </w:r>
    </w:p>
    <w:p>
      <w:pPr>
        <w:pStyle w:val="ListBullet"/>
        <w:spacing w:after="40"/>
        <w:ind w:left="255" w:hanging="142"/>
      </w:pPr>
      <w:r>
        <w:rPr>
          <w:sz w:val="18"/>
        </w:rPr>
        <w:t>Long-term AI consent audit and deletion</w:t>
      </w:r>
    </w:p>
    <w:p>
      <w:pPr>
        <w:spacing w:before="160"/>
      </w:pPr>
      <w:r>
        <w:rPr>
          <w:i/>
          <w:color w:val="425466"/>
          <w:sz w:val="16"/>
        </w:rPr>
        <w:t>Record status: approved working minutes compiled from the project records. Unconfirmed Sponsor decisions are not presented as approved outcomes.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65" w:right="879" w:bottom="765" w:left="879" w:header="283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425466"/>
        <w:sz w:val="16"/>
      </w:rPr>
      <w:t xml:space="preserve">Team 5 | Sprint 4 | 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ptos" w:hAnsi="Aptos"/>
        <w:color w:val="425466"/>
        <w:sz w:val="16"/>
      </w:rPr>
      <w:t>COMP3851A / COMP3851B  |  Computing and Information Sciences Work Integrated Learning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 w:line="252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24D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A8F8A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