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</w:pPr>
      <w:r>
        <w:t>10. UserProfile Entity Notes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Requirement source</w:t>
            </w:r>
          </w:p>
        </w:tc>
        <w:tc>
          <w:tcPr>
            <w:tcW w:type="dxa" w:w="3456"/>
            <w:shd w:fill="30549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Validation / boundary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displayName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profile includes display name.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for profile completion.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ageGroup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profile includes an age group.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a broad band; do not collect an unnecessary exact birth date.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region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Basic profile includes region.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Use only for broad local relevance.</w:t>
            </w:r>
          </w:p>
        </w:tc>
      </w:tr>
      <w:tr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schoolCommunityContext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Optional school/community context.</w:t>
            </w:r>
          </w:p>
        </w:tc>
        <w:tc>
          <w:tcPr>
            <w:tcW w:type="dxa" w:w="3456"/>
            <w:shd w:fill="F3F6FA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Optional input for basic contextual relevance.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requiredFieldStatus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Required fields are validated before saving.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sz w:val="15"/>
              </w:rPr>
              <w:t>Prevents incomplete profile submission.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10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E6E6E"/>
        <w:sz w:val="16"/>
      </w:rPr>
      <w:t>COMP3851A | Sprint 1 Combined Deliverable | English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F4E7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COMP3851A Sprint 1 Combined Deliverable - English</dc:title>
  <dc:subject>Sprint 1 PBIs, UAT, acceptance criteria and corrected mini ERD</dc:subject>
  <dc:creator>COMP3851A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