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13. InterestTag Entity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 source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Validation / boundary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tagName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Selectable interest labels are displayed and understandable.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Visible and readable label.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categoryName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list supports basic categories such as hobbies, education, wellbeing, community and social activities.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Simple Sprint 1 grouping only.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selectedState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Users can select one or more interests and deselect them before saving.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Tracks the current selected/deselected state.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