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1 vs Sprint 2 Change Summary</w:t>
      </w:r>
    </w:p>
    <w:p>
      <w:r>
        <w:t>Note: “Removed / no longer repeated / scope exclusions” distinguishes confirmed exclusions from Sprint 1 functions that are simply not repeated in this incremental Sprint 2 document.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rPr>
          <w:tblHeader w:val="true"/>
        </w:trPr>
        <w:tc>
          <w:tcPr>
            <w:tcW w:type="dxa" w:w="2670"/>
            <w:vAlign w:val="center"/>
            <w:shd w:fill="1F4E78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Comparison item</w:t>
            </w:r>
          </w:p>
        </w:tc>
        <w:tc>
          <w:tcPr>
            <w:tcW w:type="dxa" w:w="6081"/>
            <w:vAlign w:val="center"/>
            <w:shd w:fill="1F4E78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Added or modified</w:t>
            </w:r>
          </w:p>
        </w:tc>
        <w:tc>
          <w:tcPr>
            <w:tcW w:type="dxa" w:w="6081"/>
            <w:vAlign w:val="center"/>
            <w:shd w:fill="1F4E78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Removed, not repeated, or out of scope</w:t>
            </w:r>
          </w:p>
        </w:tc>
      </w:tr>
      <w:tr>
        <w:tc>
          <w:tcPr>
            <w:tcW w:type="dxa" w:w="267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sz w:val="18"/>
              </w:rPr>
              <w:t>Traceability model</w:t>
            </w:r>
          </w:p>
        </w:tc>
        <w:tc>
          <w:tcPr>
            <w:tcW w:type="dxa" w:w="6081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sz w:val="18"/>
              </w:rPr>
              <w:t>Expanded traceability from a mainly PBI-based Sprint 1 structure to linked Sprint 2 User Stories, Use Cases, FR/NFR items, acceptance criteria, UAT scenarios, entities, and fields.</w:t>
            </w:r>
          </w:p>
        </w:tc>
        <w:tc>
          <w:tcPr>
            <w:tcW w:type="dxa" w:w="6081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sz w:val="18"/>
              </w:rPr>
              <w:t>Sprint 1 PBI-1 to PBI-6 are no longer the primary traceability structure. Basic profile, interest, and basic recommendation functions remain background dependencies rather than the main Sprint 2 deliverable scope.</w:t>
            </w:r>
          </w:p>
        </w:tc>
      </w:tr>
    </w:tbl>
    <w:p/>
    <w:p>
      <w:pPr>
        <w:spacing w:after="80"/>
      </w:pPr>
      <w:r>
        <w:rPr>
          <w:rFonts w:ascii="Calibri" w:hAnsi="Calibri" w:eastAsia="Microsoft YaHei"/>
          <w:b/>
          <w:color w:val="0B2545"/>
          <w:sz w:val="38"/>
        </w:rPr>
        <w:t>Final Traceability Matrix - Phase 1 to Phase 6</w:t>
      </w:r>
    </w:p>
    <w:p>
      <w:pPr>
        <w:spacing w:after="140"/>
      </w:pPr>
      <w:r>
        <w:rPr>
          <w:rFonts w:ascii="Calibri" w:hAnsi="Calibri" w:eastAsia="Microsoft YaHei"/>
          <w:b w:val="0"/>
          <w:color w:val="555555"/>
          <w:sz w:val="20"/>
        </w:rPr>
        <w:t>COMP3851A Sprint 2 | Group D Deliverable</w:t>
      </w:r>
    </w:p>
    <w:p>
      <w:pPr>
        <w:spacing w:after="80" w:line="269" w:lineRule="auto"/>
      </w:pPr>
      <w:r>
        <w:rPr>
          <w:rFonts w:ascii="Calibri" w:hAnsi="Calibri" w:eastAsia="Microsoft YaHei"/>
          <w:b w:val="0"/>
          <w:color w:val="222222"/>
          <w:sz w:val="18"/>
        </w:rPr>
        <w:t>Purpose: provide a complete requirement-to-acceptance-to-UAT-to-data trace for the six Group D deliverables.</w:t>
      </w:r>
    </w:p>
    <w:p>
      <w:pPr>
        <w:spacing w:after="80" w:line="269" w:lineRule="auto"/>
      </w:pPr>
      <w:r>
        <w:rPr>
          <w:rFonts w:ascii="Calibri" w:hAnsi="Calibri" w:eastAsia="Microsoft YaHei"/>
          <w:b w:val="0"/>
          <w:color w:val="222222"/>
          <w:sz w:val="18"/>
        </w:rPr>
        <w:t>Validation rule: Frozen FR/NFR ID contains only FR/NFR identifiers already present in Phase 1 or Phase 3. Scope notes are not used as requirement IDs. N/A in Frozen Use Case ID means no frozen use-case ID was listed for that item.</w:t>
      </w:r>
    </w:p>
    <w:p>
      <w:pPr>
        <w:spacing w:after="80" w:line="269" w:lineRule="auto"/>
      </w:pPr>
      <w:r>
        <w:rPr>
          <w:rFonts w:ascii="Calibri" w:hAnsi="Calibri" w:eastAsia="Microsoft YaHei"/>
          <w:b w:val="0"/>
          <w:color w:val="222222"/>
          <w:sz w:val="18"/>
        </w:rPr>
        <w:t>Document note: This matrix uses only verified IDs already present in Phase 1 and Phase 3. Scope Notes are not placed in the FR/NFR ID column, while the Entity and Field columns identify Phase 2-6 entities, fields, or explicit non-persistent UI/AI boundaries.</w:t>
      </w:r>
    </w:p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Complete Final Matrix</w:t>
      </w:r>
    </w:p>
    <w:tbl>
      <w:tblPr>
        <w:tblStyle w:val="TableGrid"/>
        <w:tblW w:type="dxa" w:w="14832"/>
        <w:tblLayout w:type="fixed"/>
        <w:tblLook w:firstColumn="1" w:firstRow="1" w:lastColumn="0" w:lastRow="0" w:noHBand="0" w:noVBand="1" w:val="04A0"/>
      </w:tblPr>
      <w:tblGrid>
        <w:gridCol w:w="1250"/>
        <w:gridCol w:w="1400"/>
        <w:gridCol w:w="1900"/>
        <w:gridCol w:w="1200"/>
        <w:gridCol w:w="950"/>
        <w:gridCol w:w="1600"/>
        <w:gridCol w:w="2700"/>
        <w:gridCol w:w="1100"/>
        <w:gridCol w:w="2732"/>
      </w:tblGrid>
      <w:tr>
        <w:trPr>
          <w:tblHeader w:val="true"/>
        </w:trPr>
        <w:tc>
          <w:tcPr>
            <w:tcW w:type="dxa" w:w="1250"/>
            <w:shd w:fill="E8EEF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1"/>
              </w:rPr>
              <w:t>Frozen User Story ID</w:t>
            </w:r>
          </w:p>
        </w:tc>
        <w:tc>
          <w:tcPr>
            <w:tcW w:type="dxa" w:w="1400"/>
            <w:shd w:fill="E8EEF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1"/>
              </w:rPr>
              <w:t>Frozen Use Case ID</w:t>
            </w:r>
          </w:p>
        </w:tc>
        <w:tc>
          <w:tcPr>
            <w:tcW w:type="dxa" w:w="1900"/>
            <w:shd w:fill="E8EEF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1"/>
              </w:rPr>
              <w:t>Frozen FR/NFR ID</w:t>
            </w:r>
          </w:p>
        </w:tc>
        <w:tc>
          <w:tcPr>
            <w:tcW w:type="dxa" w:w="1200"/>
            <w:shd w:fill="E8EEF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1"/>
              </w:rPr>
              <w:t>AC ID</w:t>
            </w:r>
          </w:p>
        </w:tc>
        <w:tc>
          <w:tcPr>
            <w:tcW w:type="dxa" w:w="950"/>
            <w:shd w:fill="E8EEF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1"/>
              </w:rPr>
              <w:t>UAT ID</w:t>
            </w:r>
          </w:p>
        </w:tc>
        <w:tc>
          <w:tcPr>
            <w:tcW w:type="dxa" w:w="1600"/>
            <w:shd w:fill="E8EEF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1"/>
              </w:rPr>
              <w:t>Entity</w:t>
            </w:r>
          </w:p>
        </w:tc>
        <w:tc>
          <w:tcPr>
            <w:tcW w:type="dxa" w:w="2700"/>
            <w:shd w:fill="E8EEF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1"/>
              </w:rPr>
              <w:t>Field</w:t>
            </w:r>
          </w:p>
        </w:tc>
        <w:tc>
          <w:tcPr>
            <w:tcW w:type="dxa" w:w="1100"/>
            <w:shd w:fill="E8EEF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1"/>
              </w:rPr>
              <w:t>Coverage Status</w:t>
            </w:r>
          </w:p>
        </w:tc>
        <w:tc>
          <w:tcPr>
            <w:tcW w:type="dxa" w:w="2732"/>
            <w:shd w:fill="E8EEF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1"/>
              </w:rPr>
              <w:t>Notes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S2-US15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N/A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HP-FR1; HP-NFR1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AC-01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UAT-01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No stored entity (Home Page UI)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module order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Home Page module order. Covers Home Page ordering without adding a data entity.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S2-US15; S2-US6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S2-UC10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HP-FR2; HP-FR3; CI-FR1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AC-02; AC-03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UAT-02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CheckIn; Home Page UI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checkInId; timestamp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Today card opens Check-in. Covers Today card navigation to Check-in creation.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S2-US15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N/A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HP-FR7; AIC-FR1; HP-FR8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AC-04; AC-05; AC-06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UAT-03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Home Page UI; AI Assistant boundary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weather state; AI entry point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Home Page AI and weather boundary. Covers AI and weather boundary display without adding stored AI profile data.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S2-US6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S2-UC10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CI-FR1; CI-FR2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AC-07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UAT-04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CheckIn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note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Save Check-in with note only. Covers note-only Check-in save.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S2-US6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S2-UC10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CI-FR1; CI-FR2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AC-08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UAT-05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CheckIn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moodValue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Save Check-in with mood only. Covers mood-only Check-in save; moodValue is mood only.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S2-US6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S2-UC10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CI-FR1; CI-FR2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AC-09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UAT-06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CheckIn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note; moodValue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Save Check-in with note and mood. Covers Check-in save with both note and moodValue.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S2-US6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S2-UC10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CI-FR2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AC-10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UAT-07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CheckIn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note; moodValue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Block empty Check-in. Covers validation that at least one of note or moodValue is required.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S2-US6; S2-US8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S2-UC10; S2-UC18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CI-FR3; CI-FR6; CI-FR7; FV-FR1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AC-11; AC-15; AC-17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UAT-08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CheckIn; PrivacySetting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timestamp; visibility; defaultCheckInVisibility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Automatic timestamp and initial Private visibility. Covers automatic Check-in business time and initial Private visibility.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S2-US6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S2-UC10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CI-FR4; CI-NFR2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AC-12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UAT-09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LocationPoint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checkInId; consentGiven; generalAreaOrDistrict; broadRegion; reducedPrecisionLocationLabel; precisionLevel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Location consent accepted. Covers consented optional LocationPoint creation using Phase 2 FK direction.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S2-US6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S2-UC10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CI-FR4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AC-13; AC-14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UAT-10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LocationPoint; CheckIn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consentGiven; checkInId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Location refused or not selected. Covers no LocationPoint row when location is refused or not selected.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S2-US6; S2-US8; S2-US13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S2-UC10; S2-UC18; S2-UC19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CI-FR6; FV-FR2; FV-FR4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AC-16; AC-26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UAT-11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CheckIn; FriendVisibility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visibility; canAccessFriendsOnlyContent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Explicit Friends-only Check-in sharing. Covers explicit Friends-only sharing after initial Private state.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S2-US6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S2-UC12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CI-FR8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AC-18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UAT-12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CheckIn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timestamp; checkInId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Deleted Check-in removed from Calendar. Covers Calendar propagation after deleted CheckIn no longer contributes.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S2-US6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S2-UC12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CI-FR8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AC-18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UAT-13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CheckIn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timestamp; checkInId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Deleted Check-in removed from Timeline. Covers Timeline propagation after Check-in removal.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S2-US6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S2-UC12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CI-FR8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AC-18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UAT-14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CheckIn; LocationPoint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checkInId; generalAreaOrDistrict; broadRegion; reducedPrecisionLocationLabel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Deleted Check-in removed from Map. Covers Map propagation after Check-in removal.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S2-US6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S2-UC12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CI-FR8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AC-18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UAT-15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CheckIn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timestamp; moodValue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Deleted Check-in removed from Heatmap. Covers Heatmap propagation after Check-in removal.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S2-US6; S2-US13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S2-UC12; S2-UC19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CI-FR8; FV-FR2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AC-18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UAT-16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CheckIn; FriendVisibility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visibility; canAccessFriendsOnlyContent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Deleted Check-in removed from Friends Activity. Covers Friends Activity propagation after Check-in removal.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S2-US7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S2-UC13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CAL-FR1; CAL-NFR2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AC-19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UAT-17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CheckIn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timestamp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Monthly Calendar marks Check-in dates. Covers Calendar date marking for saved Check-ins.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S2-US7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S2-UC13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CAL-FR2; CAL-NFR1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AC-20; AC-21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UAT-18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CheckIn; Calendar UI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timestamp; visibility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Calendar empty month and privacy boundary. Covers empty Calendar month and privacy boundary.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S2-US9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S2-UC16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MT-FR1; MT-FR2; MT-NFR2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AC-22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UAT-19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LocationPoint; CheckIn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generalAreaOrDistrict; broadRegion; reducedPrecisionLocationLabel; precisionLevel; timestamp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Map shows reduced-precision location point. Covers reduced-precision Map display.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S2-US9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S2-UC16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MT-FR1; MT-FR3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AC-23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UAT-20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CheckIn; LocationPoint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note; moodValue; timestamp; checkInId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Timeline shows Check-in without location. Covers Timeline display when no LocationPoint exists.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S2-US9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S2-UC16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MT-FR1; MT-FR3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AC-23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UAT-21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LocationPoint; CheckIn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checkInId; consentGiven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Map hides Check-in without location. Covers Map hiding a Check-in that has no LocationPoint.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S2-US9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S2-UC17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HM-FR1; HM-FR2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AC-24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UAT-22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CheckIn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timestamp; moodValue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Insufficient Heatmap information. Covers Heatmap insufficient-data behavior without activity inference.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S2-US9; S2-US8; S2-US13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S2-UC17; S2-UC19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HM-NFR1; FV-NFR3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AC-25; AC-30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UAT-23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CheckIn; FriendVisibility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moodValue; visibility; canAccessFriendsOnlyContent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Full Heatmap remains private. Covers full Heatmap privacy boundary.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S2-US8; S2-US13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S2-UC18; S2-UC19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FV-FR1; FV-FR6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AC-27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UAT-24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CheckIn; FriendVisibility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visibility; canAccessFriendsOnlyContent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Private Check-in hidden from friend. Covers Private Check-in hidden from friend.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S2-US8; S2-US13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S2-UC19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FV-NFR1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AC-28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UAT-25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LocationPoint; FriendVisibility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generalAreaOrDistrict; broadRegion; reducedPrecisionLocationLabel; precisionLevel; canAccessFriendsOnlyContent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Friend-facing location is reduced precision only. Covers reduced-precision friend-facing location boundary.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S2-US11; S2-US13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S2-UC19; S2-UC24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FV-FR5; EV-FR6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AC-29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UAT-26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EventInterest; FriendVisibility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visibility; canAccessFriendsOnlyContent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Event activity starts Private. Covers EventInterest initial Private visibility.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S2-US10; S2-US15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S2-UC22; S2-UC23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EV-FR1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AC-31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UAT-27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Event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eventId; name; imageUrl; eventTime; venueLocation; category; shortDescription; externalUrl; sourceType; sourceRef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Event card and details fields. Covers Event card and details data.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S2-US10; S2-US12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S2-UC22; S2-UC23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EV-FR1; EV-FR5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AC-32; AC-37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UAT-28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Event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imageUrl; externalUrl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Missing image or external link fallback. Covers missing image and external link fallback behavior.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S2-US11; S2-US10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S2-UC24; S2-UC22; S2-UC23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EV-FR2; EV-FR3; EV-FR7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AC-33; AC-39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UAT-29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EventInterest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eventInterestId; userId; eventId; isInterested; visibility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Interested manual mark. Covers Interested as an explicit manual mark.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S2-US11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S2-UC23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EV-FR4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AC-34; AC-35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UAT-30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EventInterest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isGoing; isBookedExternally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Going and Booked externally can coexist. Covers manual Going and Booked externally coexistence.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S2-US12; S2-US11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S2-UC27; S2-UC23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EV-FR5; EV-NFR2; EV-NFR3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AC-36; AC-38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UAT-31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Event; EventInterest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externalUrl; isBookedExternally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External booking redirect only. Covers external booking redirect only.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S2-US15; S2-US10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S2-UC22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AR-FR1; AR-FR2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AC-40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UAT-32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Event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recommendationReason; category; sourceRef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Recommendation order follows frozen four layers. Covers frozen four-layer recommendation order.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S2-US15; S2-US10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S2-UC22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AR-FR2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AC-45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UAT-33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Event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recommendationReason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Recommendation explanation is user-understandable. Covers user-understandable recommendation explanation.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S2-US15; S2-US10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S2-UC22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AR-FR1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AC-41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UAT-34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Event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recommendationReason; sourceRef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No score or confidence display. Covers no implementation score or confidence display.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S2-US15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N/A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AIC-FR1; AIC-FR2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AC-42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UAT-35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AI Assistant boundary; CheckIn; EventInterest; Event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allowed data boundary; moodValue; visibility; event fields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AI uses allowed data only. Covers AI allowed-data boundary.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S2-US15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N/A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AIC-FR2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AC-43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UAT-36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AI Assistant boundary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consent state; fallback state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AI consent denied fallback. Covers consent-denied AI fallback without storing extra profile data.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S2-US15; S2-US10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S2-UC22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AR-FR3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AC-44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UAT-37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AI Assistant boundary; Event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fallback state; recommendationReason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AI insufficient data fallback. Covers insufficient-data fallback.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S2-US15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N/A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AS-FR2; AS-NFR1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AC-46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UAT-38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AI Assistant boundary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N/A - no stored field; response boundary only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Out-of-scope AI request boundary. Covers out-of-scope AI request boundary.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S2-US15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N/A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AS-FR2; AS-FR1; AS-NFR2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AC-47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UAT-39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AI Assistant boundary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N/A - no stored field; response boundary only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Medical AI boundary. Covers medical advice boundary.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S2-US15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N/A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AS-FR2; AS-FR1; AS-NFR2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AC-47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UAT-40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AI Assistant boundary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N/A - no stored field; response boundary only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Legal AI boundary. Covers legal advice boundary.</w:t>
            </w:r>
          </w:p>
        </w:tc>
      </w:tr>
      <w:tr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S2-US15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N/A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AS-FR2; AS-FR1; AS-NFR2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AC-47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UAT-41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AI Assistant boundary</w:t>
            </w:r>
          </w:p>
        </w:tc>
        <w:tc>
          <w:tcPr>
            <w:tcW w:type="dxa" w:w="2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N/A - no stored field; response boundary only</w:t>
            </w:r>
          </w:p>
        </w:tc>
        <w:tc>
          <w:tcPr>
            <w:tcW w:type="dxa" w:w="1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0"/>
              </w:rPr>
              <w:t>Covered</w:t>
            </w:r>
          </w:p>
        </w:tc>
        <w:tc>
          <w:tcPr>
            <w:tcW w:type="dxa" w:w="27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0"/>
              </w:rPr>
              <w:t>Emergency AI boundary. Covers emergency advice boundary.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Validation Summary</w:t>
      </w:r>
    </w:p>
    <w:tbl>
      <w:tblPr>
        <w:tblStyle w:val="TableGrid"/>
        <w:tblW w:type="dxa" w:w="14500"/>
        <w:tblLook w:firstColumn="1" w:firstRow="1" w:lastColumn="0" w:lastRow="0" w:noHBand="0" w:noVBand="1" w:val="04A0"/>
        <w:tblLayout w:type="fixed"/>
      </w:tblPr>
      <w:tblGrid>
        <w:gridCol w:w="2300"/>
        <w:gridCol w:w="2200"/>
        <w:gridCol w:w="10000"/>
      </w:tblGrid>
      <w:tr>
        <w:tc>
          <w:tcPr>
            <w:tcW w:type="dxa" w:w="2300"/>
            <w:shd w:fill="E8EEF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Check</w:t>
            </w:r>
          </w:p>
        </w:tc>
        <w:tc>
          <w:tcPr>
            <w:tcW w:type="dxa" w:w="2200"/>
            <w:shd w:fill="E8EEF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Result</w:t>
            </w:r>
          </w:p>
        </w:tc>
        <w:tc>
          <w:tcPr>
            <w:tcW w:type="dxa" w:w="10000"/>
            <w:shd w:fill="E8EEF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Notes</w:t>
            </w:r>
          </w:p>
        </w:tc>
      </w:tr>
      <w:tr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6"/>
              </w:rPr>
              <w:t>Rows generated</w:t>
            </w:r>
          </w:p>
        </w:tc>
        <w:tc>
          <w:tcPr>
            <w:tcW w:type="dxa" w:w="2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41</w:t>
            </w:r>
          </w:p>
        </w:tc>
        <w:tc>
          <w:tcPr>
            <w:tcW w:type="dxa" w:w="10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One row per UAT scenario from Phase 3.</w:t>
            </w:r>
          </w:p>
        </w:tc>
      </w:tr>
      <w:tr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6"/>
              </w:rPr>
              <w:t>AC coverage</w:t>
            </w:r>
          </w:p>
        </w:tc>
        <w:tc>
          <w:tcPr>
            <w:tcW w:type="dxa" w:w="2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AC-01 to AC-47</w:t>
            </w:r>
          </w:p>
        </w:tc>
        <w:tc>
          <w:tcPr>
            <w:tcW w:type="dxa" w:w="10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All AC IDs referenced in the final matrix exist in Phase 1.</w:t>
            </w:r>
          </w:p>
        </w:tc>
      </w:tr>
      <w:tr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6"/>
              </w:rPr>
              <w:t>UAT coverage</w:t>
            </w:r>
          </w:p>
        </w:tc>
        <w:tc>
          <w:tcPr>
            <w:tcW w:type="dxa" w:w="2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UAT-01 to UAT-41</w:t>
            </w:r>
          </w:p>
        </w:tc>
        <w:tc>
          <w:tcPr>
            <w:tcW w:type="dxa" w:w="10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All UAT IDs referenced in the final matrix exist in Phase 3.</w:t>
            </w:r>
          </w:p>
        </w:tc>
      </w:tr>
      <w:tr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6"/>
              </w:rPr>
              <w:t>FR/NFR ID rule</w:t>
            </w:r>
          </w:p>
        </w:tc>
        <w:tc>
          <w:tcPr>
            <w:tcW w:type="dxa" w:w="2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Passed</w:t>
            </w:r>
          </w:p>
        </w:tc>
        <w:tc>
          <w:tcPr>
            <w:tcW w:type="dxa" w:w="10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Only FR/NFR-format IDs are used in the Frozen FR/NFR ID column.</w:t>
            </w:r>
          </w:p>
        </w:tc>
      </w:tr>
      <w:tr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6"/>
              </w:rPr>
              <w:t>Scope note rule</w:t>
            </w:r>
          </w:p>
        </w:tc>
        <w:tc>
          <w:tcPr>
            <w:tcW w:type="dxa" w:w="2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Passed</w:t>
            </w:r>
          </w:p>
        </w:tc>
        <w:tc>
          <w:tcPr>
            <w:tcW w:type="dxa" w:w="10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No Scope Note text is placed in the Frozen FR/NFR ID column.</w:t>
            </w:r>
          </w:p>
        </w:tc>
      </w:tr>
      <w:tr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6"/>
              </w:rPr>
              <w:t>Trace structure rule</w:t>
            </w:r>
          </w:p>
        </w:tc>
        <w:tc>
          <w:tcPr>
            <w:tcW w:type="dxa" w:w="2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Passed</w:t>
            </w:r>
          </w:p>
        </w:tc>
        <w:tc>
          <w:tcPr>
            <w:tcW w:type="dxa" w:w="10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6"/>
              </w:rPr>
              <w:t>The matrix uses full columns, not a single vague Trace field.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504" w:right="504" w:bottom="504" w:left="50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66666"/>
        <w:sz w:val="16"/>
      </w:rPr>
      <w:t>Final Traceability Matrix | COMP3851A Sprint 2 | Phase 1-6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Traceability Matrix - Phase 1 to Phase 6</dc:title>
  <dc:subject>COMP3851A Sprint 2</dc:subject>
  <dc:creator>Group D</dc:creator>
  <cp:keywords/>
  <dc:description>generated by python-docx</dc:description>
  <cp:lastModifiedBy>Group D</cp:lastModifiedBy>
  <cp:revision>1</cp:revision>
  <dcterms:created xsi:type="dcterms:W3CDTF">2013-12-23T23:15:00Z</dcterms:created>
  <dcterms:modified xsi:type="dcterms:W3CDTF">2013-12-23T23:15:00Z</dcterms:modified>
  <cp:category/>
</cp:coreProperties>
</file>