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line="360" w:lineRule="auto"/>
        <w:ind w:firstLine="0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期末大作业论文</w:t>
      </w:r>
    </w:p>
    <w:p/>
    <w:p/>
    <w:p/>
    <w:p>
      <w:pPr>
        <w:spacing w:line="360" w:lineRule="auto"/>
        <w:ind w:firstLine="0"/>
        <w:jc w:val="center"/>
      </w:pPr>
      <w:r>
        <w:rPr>
          <w:rFonts w:ascii="Times New Roman" w:hAnsi="Times New Roman" w:eastAsia="黑体"/>
          <w:b/>
          <w:color w:val="000000"/>
          <w:sz w:val="36"/>
        </w:rPr>
        <w:t>基于传染病动力学模型与机器学习方法的疫情传播预测研究</w:t>
      </w:r>
    </w:p>
    <w:p/>
    <w:p/>
    <w:p/>
    <w:p/>
    <w:p/>
    <w:p/>
    <w:p>
      <w:pPr>
        <w:spacing w:line="360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>课程名称：计算机建模技术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>作业题目：题目一：疫情传播模型与预测模型方法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>学号：1030424322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>姓名：解宝赛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>完成日期：2026-06-25</w:t>
      </w:r>
    </w:p>
    <w:p>
      <w:pPr>
        <w:sectPr>
          <w:pgSz w:w="11906" w:h="16838"/>
          <w:pgMar w:top="1417" w:right="1417" w:bottom="1417" w:left="1417" w:header="850" w:footer="850" w:gutter="0"/>
          <w:cols w:space="720"/>
          <w:docGrid w:linePitch="360"/>
        </w:sectPr>
      </w:pPr>
    </w:p>
    <w:p>
      <w:pPr>
        <w:pStyle w:val="Heading1"/>
      </w:pPr>
      <w:r/>
      <w:bookmarkStart w:id="1" w:name="bm_3ae14696f82a547c"/>
      <w:r>
        <w:rPr>
          <w:rFonts w:ascii="Times New Roman" w:hAnsi="Times New Roman" w:eastAsia="黑体"/>
          <w:b/>
          <w:color w:val="000000"/>
          <w:sz w:val="32"/>
        </w:rPr>
        <w:t>摘要</w:t>
      </w:r>
      <w:bookmarkEnd w:id="1"/>
    </w:p>
    <w:p>
      <w:pPr>
        <w:pStyle w:val="BodyText"/>
        <w:jc w:val="left"/>
      </w:pPr>
      <w:r>
        <w:rPr>
          <w:rFonts w:ascii="Times New Roman" w:hAnsi="Times New Roman" w:eastAsia="宋体"/>
          <w:color w:val="000000"/>
          <w:sz w:val="24"/>
        </w:rPr>
        <w:t>本研究围绕“疫情传播模型与预测模型方法”，基于 JHU CSSE COVID-19 时间序列数据，以中国大陆为分析对象，完成数据预处理、区域传播趋势分析、SIR 模型拟合和机器学习短期预测。China 口径中排除 Hong Kong、Macau、Taiwan 和 Unknown；样本时间范围为 2020-01-22 至 2023-03-09，末期累计确诊 502,088 例，累计死亡 5,273 例。模型部分构建固定参数 SIR、时变参数 SIR，并比较 NaivePersistence、LinearRegression、RandomForest 和 GradientBoosting 四类机器学习模型。其中 TimeVaryingSIR 作为历史描述性重构模型解释参数变化，不作为普通测试集预测结果解读。在每日新增确诊测试集中，NaivePersistence 的 RMSE 为 1,380.615、MAE 为 440.296、R² 为 0.576。在中国大陆后期每日新增确诊预测中，NaivePersistence 取得最低 RMSE，说明该阶段序列具有较强短期惯性；复杂模型并不一定稳定优于简单基线。SIR 类模型具有较强机制解释能力；deaths 和 recovered 序列受低计数波动、统计修正和 recovered 停止可靠更新影响较大。本项目源代码、数据处理脚本和实验输出文件可通过 GitHub 仓库获得：https://github.com/3437553621/Covid19-modeling-project。</w:t>
      </w:r>
    </w:p>
    <w:p>
      <w:pPr>
        <w:spacing w:line="360" w:lineRule="auto"/>
        <w:ind w:firstLine="0"/>
      </w:pPr>
      <w:r>
        <w:rPr>
          <w:rFonts w:ascii="Times New Roman" w:hAnsi="Times New Roman" w:eastAsia="宋体"/>
          <w:b w:val="0"/>
          <w:color w:val="000000"/>
          <w:sz w:val="24"/>
        </w:rPr>
        <w:t>关键词：疫情传播；SIR 模型；时变参数；机器学习；GradientBoosting；时间序列预测；区域传播趋势</w:t>
      </w:r>
    </w:p>
    <w:p>
      <w:r>
        <w:br w:type="page"/>
      </w:r>
    </w:p>
    <w:p>
      <w:pPr>
        <w:pStyle w:val="Heading1"/>
      </w:pPr>
      <w:r/>
      <w:bookmarkStart w:id="2" w:name="bm_767fa455bb6826f4"/>
      <w:r>
        <w:rPr>
          <w:rFonts w:ascii="Times New Roman" w:hAnsi="Times New Roman" w:eastAsia="黑体"/>
          <w:b/>
          <w:color w:val="000000"/>
          <w:sz w:val="32"/>
        </w:rPr>
        <w:t>目录</w:t>
      </w:r>
      <w:bookmarkEnd w:id="2"/>
    </w:p>
    <w:p>
      <w:pPr>
        <w:spacing w:line="360" w:lineRule="auto"/>
        <w:ind w:firstLine="0"/>
      </w:pPr>
      <w:hyperlink w:anchor="bm_3ae14696f82a547c">
        <w:r>
          <w:rPr>
            <w:color w:val="0563C1"/>
            <w:u w:val="single"/>
          </w:rPr>
          <w:t>摘要</w:t>
        </w:r>
      </w:hyperlink>
      <w:r>
        <w:rPr>
          <w:rFonts w:ascii="Times New Roman" w:hAnsi="Times New Roman" w:eastAsia="宋体"/>
          <w:color w:val="000000"/>
          <w:sz w:val="24"/>
        </w:rPr>
        <w:t xml:space="preserve"> ................................ I</w:t>
      </w:r>
    </w:p>
    <w:p>
      <w:pPr>
        <w:spacing w:line="360" w:lineRule="auto"/>
        <w:ind w:firstLine="0"/>
      </w:pPr>
      <w:hyperlink w:anchor="bm_be2f0f66f072abd6">
        <w:r>
          <w:rPr>
            <w:color w:val="0563C1"/>
            <w:u w:val="single"/>
          </w:rPr>
          <w:t>一、引言</w:t>
        </w:r>
      </w:hyperlink>
      <w:r>
        <w:rPr>
          <w:rFonts w:ascii="Times New Roman" w:hAnsi="Times New Roman" w:eastAsia="宋体"/>
          <w:color w:val="000000"/>
          <w:sz w:val="24"/>
        </w:rPr>
        <w:t xml:space="preserve"> .............................. 1</w:t>
      </w:r>
    </w:p>
    <w:p>
      <w:pPr>
        <w:spacing w:line="360" w:lineRule="auto"/>
        <w:ind w:firstLine="0"/>
      </w:pPr>
      <w:hyperlink w:anchor="bm_6cc8f1d59fd3f03f">
        <w:r>
          <w:rPr>
            <w:color w:val="0563C1"/>
            <w:u w:val="single"/>
          </w:rPr>
          <w:t>二、数据来源与预处理</w:t>
        </w:r>
      </w:hyperlink>
      <w:r>
        <w:rPr>
          <w:rFonts w:ascii="Times New Roman" w:hAnsi="Times New Roman" w:eastAsia="宋体"/>
          <w:color w:val="000000"/>
          <w:sz w:val="24"/>
        </w:rPr>
        <w:t xml:space="preserve"> ........................ 2</w:t>
      </w:r>
    </w:p>
    <w:p>
      <w:pPr>
        <w:spacing w:line="360" w:lineRule="auto"/>
        <w:ind w:firstLine="0"/>
      </w:pPr>
      <w:hyperlink w:anchor="bm_c81f36c665e3c847">
        <w:r>
          <w:rPr>
            <w:color w:val="0563C1"/>
            <w:u w:val="single"/>
          </w:rPr>
          <w:t>三、实验设置</w:t>
        </w:r>
      </w:hyperlink>
      <w:r>
        <w:rPr>
          <w:rFonts w:ascii="Times New Roman" w:hAnsi="Times New Roman" w:eastAsia="宋体"/>
          <w:color w:val="000000"/>
          <w:sz w:val="24"/>
        </w:rPr>
        <w:t xml:space="preserve"> ............................ 3</w:t>
      </w:r>
    </w:p>
    <w:p>
      <w:pPr>
        <w:spacing w:line="360" w:lineRule="auto"/>
        <w:ind w:firstLine="0"/>
      </w:pPr>
      <w:hyperlink w:anchor="bm_acdff31792971715">
        <w:r>
          <w:rPr>
            <w:color w:val="0563C1"/>
            <w:u w:val="single"/>
          </w:rPr>
          <w:t>四、疫情传播规律与区域趋势分析</w:t>
        </w:r>
      </w:hyperlink>
      <w:r>
        <w:rPr>
          <w:rFonts w:ascii="Times New Roman" w:hAnsi="Times New Roman" w:eastAsia="宋体"/>
          <w:color w:val="000000"/>
          <w:sz w:val="24"/>
        </w:rPr>
        <w:t xml:space="preserve"> ................... 4</w:t>
      </w:r>
    </w:p>
    <w:p>
      <w:pPr>
        <w:spacing w:line="360" w:lineRule="auto"/>
        <w:ind w:firstLine="0"/>
      </w:pPr>
      <w:hyperlink w:anchor="bm_4ac6a674f4f9eced">
        <w:r>
          <w:rPr>
            <w:color w:val="0563C1"/>
            <w:u w:val="single"/>
          </w:rPr>
          <w:t>五、固定参数 SIR 模型</w:t>
        </w:r>
      </w:hyperlink>
      <w:r>
        <w:rPr>
          <w:rFonts w:ascii="Times New Roman" w:hAnsi="Times New Roman" w:eastAsia="宋体"/>
          <w:color w:val="000000"/>
          <w:sz w:val="24"/>
        </w:rPr>
        <w:t xml:space="preserve"> ..................... 8</w:t>
      </w:r>
    </w:p>
    <w:p>
      <w:pPr>
        <w:spacing w:line="360" w:lineRule="auto"/>
        <w:ind w:firstLine="0"/>
      </w:pPr>
      <w:hyperlink w:anchor="bm_c7d66c61ecc60220">
        <w:r>
          <w:rPr>
            <w:color w:val="0563C1"/>
            <w:u w:val="single"/>
          </w:rPr>
          <w:t>六、时变参数 SIR 模型</w:t>
        </w:r>
      </w:hyperlink>
      <w:r>
        <w:rPr>
          <w:rFonts w:ascii="Times New Roman" w:hAnsi="Times New Roman" w:eastAsia="宋体"/>
          <w:color w:val="000000"/>
          <w:sz w:val="24"/>
        </w:rPr>
        <w:t xml:space="preserve"> ..................... 10</w:t>
      </w:r>
    </w:p>
    <w:p>
      <w:pPr>
        <w:spacing w:line="360" w:lineRule="auto"/>
        <w:ind w:firstLine="0"/>
      </w:pPr>
      <w:hyperlink w:anchor="bm_27c05197194c074b">
        <w:r>
          <w:rPr>
            <w:color w:val="0563C1"/>
            <w:u w:val="single"/>
          </w:rPr>
          <w:t>七、机器学习每日新增预测模型</w:t>
        </w:r>
      </w:hyperlink>
      <w:r>
        <w:rPr>
          <w:rFonts w:ascii="Times New Roman" w:hAnsi="Times New Roman" w:eastAsia="宋体"/>
          <w:color w:val="000000"/>
          <w:sz w:val="24"/>
        </w:rPr>
        <w:t xml:space="preserve"> .................... 12</w:t>
      </w:r>
    </w:p>
    <w:p>
      <w:pPr>
        <w:spacing w:line="360" w:lineRule="auto"/>
        <w:ind w:firstLine="0"/>
      </w:pPr>
      <w:hyperlink w:anchor="bm_085ec5c2bafaddad">
        <w:r>
          <w:rPr>
            <w:color w:val="0563C1"/>
            <w:u w:val="single"/>
          </w:rPr>
          <w:t>八、同窗口舱室变量对比实验</w:t>
        </w:r>
      </w:hyperlink>
      <w:r>
        <w:rPr>
          <w:rFonts w:ascii="Times New Roman" w:hAnsi="Times New Roman" w:eastAsia="宋体"/>
          <w:color w:val="000000"/>
          <w:sz w:val="24"/>
        </w:rPr>
        <w:t xml:space="preserve"> ..................... 16</w:t>
      </w:r>
    </w:p>
    <w:p>
      <w:pPr>
        <w:spacing w:line="360" w:lineRule="auto"/>
        <w:ind w:firstLine="0"/>
      </w:pPr>
      <w:hyperlink w:anchor="bm_cd7c675f2557e4a4">
        <w:r>
          <w:rPr>
            <w:color w:val="0563C1"/>
            <w:u w:val="single"/>
          </w:rPr>
          <w:t>九、未来 7 天和 14 天预测</w:t>
        </w:r>
      </w:hyperlink>
      <w:r>
        <w:rPr>
          <w:rFonts w:ascii="Times New Roman" w:hAnsi="Times New Roman" w:eastAsia="宋体"/>
          <w:color w:val="000000"/>
          <w:sz w:val="24"/>
        </w:rPr>
        <w:t xml:space="preserve"> .................. 18</w:t>
      </w:r>
    </w:p>
    <w:p>
      <w:pPr>
        <w:spacing w:line="360" w:lineRule="auto"/>
        <w:ind w:firstLine="0"/>
      </w:pPr>
      <w:hyperlink w:anchor="bm_3911d97c9bce7cb1">
        <w:r>
          <w:rPr>
            <w:color w:val="0563C1"/>
            <w:u w:val="single"/>
          </w:rPr>
          <w:t>十、模型对比分析</w:t>
        </w:r>
      </w:hyperlink>
      <w:r>
        <w:rPr>
          <w:rFonts w:ascii="Times New Roman" w:hAnsi="Times New Roman" w:eastAsia="宋体"/>
          <w:color w:val="000000"/>
          <w:sz w:val="24"/>
        </w:rPr>
        <w:t xml:space="preserve"> .......................... 20</w:t>
      </w:r>
    </w:p>
    <w:p>
      <w:pPr>
        <w:spacing w:line="360" w:lineRule="auto"/>
        <w:ind w:firstLine="0"/>
      </w:pPr>
      <w:hyperlink w:anchor="bm_0698dd7e560c4b96">
        <w:r>
          <w:rPr>
            <w:color w:val="0563C1"/>
            <w:u w:val="single"/>
          </w:rPr>
          <w:t>十一、结论与不足</w:t>
        </w:r>
      </w:hyperlink>
      <w:r>
        <w:rPr>
          <w:rFonts w:ascii="Times New Roman" w:hAnsi="Times New Roman" w:eastAsia="宋体"/>
          <w:color w:val="000000"/>
          <w:sz w:val="24"/>
        </w:rPr>
        <w:t xml:space="preserve"> .......................... 21</w:t>
      </w:r>
    </w:p>
    <w:p>
      <w:pPr>
        <w:spacing w:line="360" w:lineRule="auto"/>
        <w:ind w:firstLine="0"/>
      </w:pPr>
      <w:hyperlink w:anchor="bm_fb507f2cb9ee9105">
        <w:r>
          <w:rPr>
            <w:color w:val="0563C1"/>
            <w:u w:val="single"/>
          </w:rPr>
          <w:t>参考文献</w:t>
        </w:r>
      </w:hyperlink>
      <w:r>
        <w:rPr>
          <w:rFonts w:ascii="Times New Roman" w:hAnsi="Times New Roman" w:eastAsia="宋体"/>
          <w:color w:val="000000"/>
          <w:sz w:val="24"/>
        </w:rPr>
        <w:t xml:space="preserve"> .............................. 22</w:t>
      </w:r>
    </w:p>
    <w:p>
      <w:pPr>
        <w:sectPr>
          <w:footerReference w:type="default" r:id="rId9"/>
          <w:pgSz w:w="11906" w:h="16838"/>
          <w:pgMar w:top="1417" w:right="1417" w:bottom="1417" w:left="1417" w:header="850" w:footer="850" w:gutter="0"/>
          <w:cols w:space="720"/>
          <w:docGrid w:linePitch="360"/>
          <w:pgNumType w:start="1"/>
        </w:sectPr>
      </w:pPr>
    </w:p>
    <w:p>
      <w:pPr>
        <w:pStyle w:val="Heading1"/>
      </w:pPr>
      <w:r/>
      <w:bookmarkStart w:id="3" w:name="bm_be2f0f66f072abd6"/>
      <w:r>
        <w:rPr>
          <w:rFonts w:ascii="Times New Roman" w:hAnsi="Times New Roman" w:eastAsia="黑体"/>
          <w:b/>
          <w:color w:val="000000"/>
          <w:sz w:val="32"/>
        </w:rPr>
        <w:t>一、引言</w:t>
      </w:r>
      <w:bookmarkEnd w:id="3"/>
    </w:p>
    <w:p>
      <w:pPr>
        <w:pStyle w:val="BodyText"/>
        <w:jc w:val="left"/>
      </w:pPr>
      <w:r>
        <w:rPr>
          <w:rFonts w:ascii="Times New Roman" w:hAnsi="Times New Roman" w:eastAsia="宋体"/>
          <w:color w:val="000000"/>
          <w:sz w:val="24"/>
        </w:rPr>
        <w:t>新冠疫情数据既具有传染病动力学特征，也具有典型时间序列特征。累计确诊、累计死亡和累计治愈能够反映疫情总规模，每日新增则更直接地反映短期传播强度、集中补报、检测能力变化和防控措施影响。课程大作业要求不仅给出预测结果，还要说明数据来源、模型假设、评价指标和可视化结论。</w:t>
      </w:r>
    </w:p>
    <w:p>
      <w:pPr>
        <w:pStyle w:val="BodyText"/>
        <w:jc w:val="left"/>
      </w:pPr>
      <w:r>
        <w:rPr>
          <w:rFonts w:ascii="Times New Roman" w:hAnsi="Times New Roman" w:eastAsia="宋体"/>
          <w:color w:val="000000"/>
          <w:sz w:val="24"/>
        </w:rPr>
        <w:t>因此，本研究采用两条互补路线：一是使用 SIR 及其时变参数形式解释传播机制；二是使用多种机器学习回归模型学习每日新增序列的短期规律。前者强调 β、γ、R0 等参数的流行病学含义，后者强调滞后特征、滚动统计特征与日历特征对短期预测的贡献。</w:t>
      </w:r>
    </w:p>
    <w:p>
      <w:pPr>
        <w:pStyle w:val="BodyText"/>
        <w:jc w:val="left"/>
      </w:pPr>
      <w:r>
        <w:rPr>
          <w:rFonts w:ascii="Times New Roman" w:hAnsi="Times New Roman" w:eastAsia="宋体"/>
          <w:color w:val="000000"/>
          <w:sz w:val="24"/>
        </w:rPr>
        <w:t>与只展示单一模型不同，本研究保留 Naive persistence baseline，并加入 LinearRegression、RandomForestRegressor 和 GradientBoostingRegressor。Naive baseline 表示‘明天等于今天’的简单惯性假设，是判断复杂模型是否真正有效的最低参照；线性回归提供可解释的线性基线；随机森林和梯度提升树用于刻画非线性关系。</w:t>
      </w:r>
    </w:p>
    <w:p>
      <w:pPr>
        <w:pStyle w:val="Heading1"/>
      </w:pPr>
      <w:r/>
      <w:bookmarkStart w:id="4" w:name="bm_6cc8f1d59fd3f03f"/>
      <w:r>
        <w:rPr>
          <w:rFonts w:ascii="Times New Roman" w:hAnsi="Times New Roman" w:eastAsia="黑体"/>
          <w:b/>
          <w:color w:val="000000"/>
          <w:sz w:val="32"/>
        </w:rPr>
        <w:t>二、数据来源与预处理</w:t>
      </w:r>
      <w:bookmarkEnd w:id="4"/>
    </w:p>
    <w:p>
      <w:pPr>
        <w:pStyle w:val="BodyText"/>
        <w:jc w:val="left"/>
      </w:pPr>
      <w:r>
        <w:rPr>
          <w:rFonts w:ascii="Times New Roman" w:hAnsi="Times New Roman" w:eastAsia="宋体"/>
          <w:color w:val="000000"/>
          <w:sz w:val="24"/>
        </w:rPr>
        <w:t>数据来源为 Johns Hopkins University Center for Systems Science and Engineering 公开维护的 COVID-19 Data Repository。原始文件包括 time_series_covid19_confirmed_global.csv、time_series_covid19_deaths_global.csv 和 time_series_covid19_recovered_global.csv。本研究保留 JHU 数据源，但将 China 口径进一步限定为中国大陆：在国家汇总和省级面板中排除 Hong Kong、Macau、Taiwan 和 Unknown。这样做的目的不是否认这些地区的数据价值，而是为了避免大陆省级趋势图和 Top 10 省份对比中混入不同统计口径。</w:t>
      </w:r>
    </w:p>
    <w:p>
      <w:pPr>
        <w:pStyle w:val="BodyText"/>
        <w:jc w:val="left"/>
      </w:pPr>
      <w:r>
        <w:rPr>
          <w:rFonts w:ascii="Times New Roman" w:hAnsi="Times New Roman" w:eastAsia="宋体"/>
          <w:color w:val="000000"/>
          <w:sz w:val="24"/>
        </w:rPr>
        <w:t>预处理首先将 JHU 宽表日期列转换为标准长时间序列，并按日期升序排列。累计值转换为每日新增值时，使用相邻日期差分；若出现负新增值，按 0 截断，以处理历史修正或集中回补带来的异常负数。该处理会在数据质量表中记录，而不是在论文中伪造平滑结果。</w:t>
      </w:r>
    </w:p>
    <w:p>
      <w:pPr>
        <w:spacing w:line="360" w:lineRule="auto" w:before="60" w:after="60"/>
        <w:ind w:firstLine="0"/>
        <w:jc w:val="center"/>
      </w:pPr>
      <m:oMath>
        <m:r>
          <m:t>daily_new_t = max(cumulative_t - cumulative_{t-1}, 0)</m:t>
        </m:r>
      </m:oMath>
      <w:r>
        <w:rPr>
          <w:rFonts w:ascii="Times New Roman" w:hAnsi="Times New Roman" w:eastAsia="宋体"/>
          <w:color w:val="000000"/>
          <w:sz w:val="24"/>
        </w:rPr>
        <w:t xml:space="preserve">    （1）</w:t>
      </w:r>
    </w:p>
    <w:p>
      <w:pPr>
        <w:pStyle w:val="BodyText"/>
        <w:jc w:val="left"/>
      </w:pPr>
      <w:r>
        <w:rPr>
          <w:rFonts w:ascii="Times New Roman" w:hAnsi="Times New Roman" w:eastAsia="宋体"/>
          <w:color w:val="000000"/>
          <w:sz w:val="24"/>
        </w:rPr>
        <w:t>需要特别说明的是，JHU recovered 全球时间序列的可靠结束日期为 2021-08-04。因此 confirmed 和 deaths 使用完整样本区间 2020-01-22 至 2023-03-09，而 recovered 只在可靠区间内训练、测试和短期外推；正文未来预测不把 recovered 与 2023 年 confirmed/deaths 结果混在同一张明细表中。</w:t>
      </w:r>
    </w:p>
    <w:p>
      <w:pPr>
        <w:spacing w:before="120" w:after="60"/>
        <w:ind w:firstLine="0"/>
        <w:jc w:val="center"/>
      </w:pPr>
      <w:r>
        <w:rPr>
          <w:rFonts w:ascii="Times New Roman" w:hAnsi="Times New Roman" w:eastAsia="黑体"/>
          <w:b/>
          <w:color w:val="000000"/>
          <w:sz w:val="21"/>
        </w:rPr>
        <w:t>表 1 数据质量摘要</w:t>
      </w:r>
    </w:p>
    <w:tbl>
      <w:tblPr>
        <w:tblStyle w:val="TableGrid"/>
        <w:tblW w:type="dxa" w:w="7400"/>
        <w:jc w:val="center"/>
        <w:tblLayout w:type="fixed"/>
        <w:tblLook w:firstColumn="1" w:firstRow="1" w:lastColumn="0" w:lastRow="0" w:noHBand="0" w:noVBand="1" w:val="04A0"/>
      </w:tblPr>
      <w:tblGrid>
        <w:gridCol w:w="2600"/>
        <w:gridCol w:w="2200"/>
        <w:gridCol w:w="2600"/>
      </w:tblGrid>
      <w:tr>
        <w:tc>
          <w:tcPr>
            <w:tcW w:type="dxa" w:w="2600"/>
            <w:shd w:fill="F2F2F2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变量</w:t>
            </w:r>
          </w:p>
        </w:tc>
        <w:tc>
          <w:tcPr>
            <w:tcW w:type="dxa" w:w="2200"/>
            <w:shd w:fill="F2F2F2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缺失天数</w:t>
            </w:r>
          </w:p>
        </w:tc>
        <w:tc>
          <w:tcPr>
            <w:tcW w:type="dxa" w:w="2600"/>
            <w:shd w:fill="F2F2F2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负新增截断次数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line="288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confirmed</w:t>
            </w:r>
          </w:p>
        </w:tc>
        <w:tc>
          <w:tcPr>
            <w:tcW w:type="dxa" w:w="22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</w:t>
            </w:r>
          </w:p>
        </w:tc>
        <w:tc>
          <w:tcPr>
            <w:tcW w:type="dxa" w:w="26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line="288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deaths</w:t>
            </w:r>
          </w:p>
        </w:tc>
        <w:tc>
          <w:tcPr>
            <w:tcW w:type="dxa" w:w="22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</w:t>
            </w:r>
          </w:p>
        </w:tc>
        <w:tc>
          <w:tcPr>
            <w:tcW w:type="dxa" w:w="26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line="288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recovered</w:t>
            </w:r>
          </w:p>
        </w:tc>
        <w:tc>
          <w:tcPr>
            <w:tcW w:type="dxa" w:w="22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582</w:t>
            </w:r>
          </w:p>
        </w:tc>
        <w:tc>
          <w:tcPr>
            <w:tcW w:type="dxa" w:w="26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</w:t>
            </w:r>
          </w:p>
        </w:tc>
      </w:tr>
    </w:tbl>
    <w:p>
      <w:pPr>
        <w:pStyle w:val="Heading1"/>
      </w:pPr>
      <w:r/>
      <w:bookmarkStart w:id="5" w:name="bm_c81f36c665e3c847"/>
      <w:r>
        <w:rPr>
          <w:rFonts w:ascii="Times New Roman" w:hAnsi="Times New Roman" w:eastAsia="黑体"/>
          <w:b/>
          <w:color w:val="000000"/>
          <w:sz w:val="32"/>
        </w:rPr>
        <w:t>三、实验设置</w:t>
      </w:r>
      <w:bookmarkEnd w:id="5"/>
    </w:p>
    <w:p>
      <w:pPr>
        <w:pStyle w:val="BodyText"/>
        <w:jc w:val="left"/>
      </w:pPr>
      <w:r>
        <w:rPr>
          <w:rFonts w:ascii="Times New Roman" w:hAnsi="Times New Roman" w:eastAsia="宋体"/>
          <w:color w:val="000000"/>
          <w:sz w:val="24"/>
        </w:rPr>
        <w:t>实验数据范围为 2020-01-22 至 2023-03-09，时间序列划分不随机打乱。每日新增确诊训练期为 2020-02-19 至 2022-07-29，测试期为 2022-07-30 至 2023-03-09。所有机器学习模型使用相同的特征矩阵和相同的训练/测试时间窗口。评价指标包括 RMSE、MAE 和 R²；其中 R² 为负时，表示模型在该测试集上差于使用测试集均值的基线。</w:t>
      </w:r>
    </w:p>
    <w:p>
      <w:pPr>
        <w:spacing w:line="360" w:lineRule="auto" w:before="60" w:after="60"/>
        <w:ind w:firstLine="0"/>
        <w:jc w:val="center"/>
      </w:pPr>
      <m:oMath>
        <m:r>
          <m:t>RMSE = sqrt((1/n) Σ(y_i - ŷ_i)^2)</m:t>
        </m:r>
      </m:oMath>
      <w:r>
        <w:rPr>
          <w:rFonts w:ascii="Times New Roman" w:hAnsi="Times New Roman" w:eastAsia="宋体"/>
          <w:color w:val="000000"/>
          <w:sz w:val="24"/>
        </w:rPr>
        <w:t xml:space="preserve">    （2）</w:t>
      </w:r>
    </w:p>
    <w:p>
      <w:pPr>
        <w:spacing w:line="360" w:lineRule="auto" w:before="60" w:after="60"/>
        <w:ind w:firstLine="0"/>
        <w:jc w:val="center"/>
      </w:pPr>
      <m:oMath>
        <m:r>
          <m:t>MAE = (1/n) Σ|y_i - ŷ_i|</m:t>
        </m:r>
      </m:oMath>
      <w:r>
        <w:rPr>
          <w:rFonts w:ascii="Times New Roman" w:hAnsi="Times New Roman" w:eastAsia="宋体"/>
          <w:color w:val="000000"/>
          <w:sz w:val="24"/>
        </w:rPr>
        <w:t xml:space="preserve">    （3）</w:t>
      </w:r>
    </w:p>
    <w:p>
      <w:pPr>
        <w:spacing w:line="360" w:lineRule="auto" w:before="60" w:after="60"/>
        <w:ind w:firstLine="0"/>
        <w:jc w:val="center"/>
      </w:pPr>
      <m:oMath>
        <m:r>
          <m:t>R² = 1 - Σ(y_i - ŷ_i)^2 / Σ(y_i - ȳ)^2</m:t>
        </m:r>
      </m:oMath>
      <w:r>
        <w:rPr>
          <w:rFonts w:ascii="Times New Roman" w:hAnsi="Times New Roman" w:eastAsia="宋体"/>
          <w:color w:val="000000"/>
          <w:sz w:val="24"/>
        </w:rPr>
        <w:t xml:space="preserve">    （4）</w:t>
      </w:r>
    </w:p>
    <w:p>
      <w:pPr>
        <w:spacing w:before="120" w:after="60"/>
        <w:ind w:firstLine="0"/>
        <w:jc w:val="center"/>
      </w:pPr>
      <w:r>
        <w:rPr>
          <w:rFonts w:ascii="Times New Roman" w:hAnsi="Times New Roman" w:eastAsia="黑体"/>
          <w:b/>
          <w:color w:val="000000"/>
          <w:sz w:val="21"/>
        </w:rPr>
        <w:t>表 2 机器学习模型与主要参数</w:t>
      </w:r>
    </w:p>
    <w:tbl>
      <w:tblPr>
        <w:tblStyle w:val="TableGrid"/>
        <w:tblW w:type="dxa" w:w="8400"/>
        <w:jc w:val="center"/>
        <w:tblLayout w:type="fixed"/>
        <w:tblLook w:firstColumn="1" w:firstRow="1" w:lastColumn="0" w:lastRow="0" w:noHBand="0" w:noVBand="1" w:val="04A0"/>
      </w:tblPr>
      <w:tblGrid>
        <w:gridCol w:w="1600"/>
        <w:gridCol w:w="2800"/>
        <w:gridCol w:w="1000"/>
        <w:gridCol w:w="1000"/>
        <w:gridCol w:w="1000"/>
        <w:gridCol w:w="1000"/>
      </w:tblGrid>
      <w:tr>
        <w:tc>
          <w:tcPr>
            <w:tcW w:type="dxa" w:w="1600"/>
            <w:shd w:fill="F2F2F2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模型</w:t>
            </w:r>
          </w:p>
        </w:tc>
        <w:tc>
          <w:tcPr>
            <w:tcW w:type="dxa" w:w="2800"/>
            <w:shd w:fill="F2F2F2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说明</w:t>
            </w:r>
          </w:p>
        </w:tc>
        <w:tc>
          <w:tcPr>
            <w:tcW w:type="dxa" w:w="1000"/>
            <w:shd w:fill="F2F2F2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树数量</w:t>
            </w:r>
          </w:p>
        </w:tc>
        <w:tc>
          <w:tcPr>
            <w:tcW w:type="dxa" w:w="1000"/>
            <w:shd w:fill="F2F2F2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学习率</w:t>
            </w:r>
          </w:p>
        </w:tc>
        <w:tc>
          <w:tcPr>
            <w:tcW w:type="dxa" w:w="1000"/>
            <w:shd w:fill="F2F2F2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最大深度</w:t>
            </w:r>
          </w:p>
        </w:tc>
        <w:tc>
          <w:tcPr>
            <w:tcW w:type="dxa" w:w="1000"/>
            <w:shd w:fill="F2F2F2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随机种子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line="288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NaivePersistence</w:t>
            </w:r>
          </w:p>
        </w:tc>
        <w:tc>
          <w:tcPr>
            <w:tcW w:type="dxa" w:w="2800"/>
            <w:vAlign w:val="center"/>
          </w:tcPr>
          <w:p>
            <w:pPr>
              <w:spacing w:line="288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ŷ(t)=y(t-1)</w:t>
            </w:r>
          </w:p>
        </w:tc>
        <w:tc>
          <w:tcPr>
            <w:tcW w:type="dxa" w:w="10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</w:t>
            </w:r>
          </w:p>
        </w:tc>
        <w:tc>
          <w:tcPr>
            <w:tcW w:type="dxa" w:w="10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</w:t>
            </w:r>
          </w:p>
        </w:tc>
        <w:tc>
          <w:tcPr>
            <w:tcW w:type="dxa" w:w="10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</w:t>
            </w:r>
          </w:p>
        </w:tc>
        <w:tc>
          <w:tcPr>
            <w:tcW w:type="dxa" w:w="10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line="288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LinearRegression</w:t>
            </w:r>
          </w:p>
        </w:tc>
        <w:tc>
          <w:tcPr>
            <w:tcW w:type="dxa" w:w="2800"/>
            <w:vAlign w:val="center"/>
          </w:tcPr>
          <w:p>
            <w:pPr>
              <w:spacing w:line="288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线性最小二乘回归</w:t>
            </w:r>
          </w:p>
        </w:tc>
        <w:tc>
          <w:tcPr>
            <w:tcW w:type="dxa" w:w="10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</w:t>
            </w:r>
          </w:p>
        </w:tc>
        <w:tc>
          <w:tcPr>
            <w:tcW w:type="dxa" w:w="10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</w:t>
            </w:r>
          </w:p>
        </w:tc>
        <w:tc>
          <w:tcPr>
            <w:tcW w:type="dxa" w:w="10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</w:t>
            </w:r>
          </w:p>
        </w:tc>
        <w:tc>
          <w:tcPr>
            <w:tcW w:type="dxa" w:w="10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line="288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RandomForest</w:t>
            </w:r>
          </w:p>
        </w:tc>
        <w:tc>
          <w:tcPr>
            <w:tcW w:type="dxa" w:w="2800"/>
            <w:vAlign w:val="center"/>
          </w:tcPr>
          <w:p>
            <w:pPr>
              <w:spacing w:line="288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随机森林回归</w:t>
            </w:r>
          </w:p>
        </w:tc>
        <w:tc>
          <w:tcPr>
            <w:tcW w:type="dxa" w:w="10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500</w:t>
            </w:r>
          </w:p>
        </w:tc>
        <w:tc>
          <w:tcPr>
            <w:tcW w:type="dxa" w:w="10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</w:t>
            </w:r>
          </w:p>
        </w:tc>
        <w:tc>
          <w:tcPr>
            <w:tcW w:type="dxa" w:w="10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10</w:t>
            </w:r>
          </w:p>
        </w:tc>
        <w:tc>
          <w:tcPr>
            <w:tcW w:type="dxa" w:w="10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42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line="288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GradientBoosting</w:t>
            </w:r>
          </w:p>
        </w:tc>
        <w:tc>
          <w:tcPr>
            <w:tcW w:type="dxa" w:w="2800"/>
            <w:vAlign w:val="center"/>
          </w:tcPr>
          <w:p>
            <w:pPr>
              <w:spacing w:line="288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梯度提升回归树</w:t>
            </w:r>
          </w:p>
        </w:tc>
        <w:tc>
          <w:tcPr>
            <w:tcW w:type="dxa" w:w="10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500</w:t>
            </w:r>
          </w:p>
        </w:tc>
        <w:tc>
          <w:tcPr>
            <w:tcW w:type="dxa" w:w="10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0.03</w:t>
            </w:r>
          </w:p>
        </w:tc>
        <w:tc>
          <w:tcPr>
            <w:tcW w:type="dxa" w:w="10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</w:t>
            </w:r>
          </w:p>
        </w:tc>
        <w:tc>
          <w:tcPr>
            <w:tcW w:type="dxa" w:w="10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42</w:t>
            </w:r>
          </w:p>
        </w:tc>
      </w:tr>
    </w:tbl>
    <w:p>
      <w:pPr>
        <w:pStyle w:val="BodyText"/>
        <w:jc w:val="left"/>
      </w:pPr>
      <w:r>
        <w:rPr>
          <w:rFonts w:ascii="Times New Roman" w:hAnsi="Times New Roman" w:eastAsia="宋体"/>
          <w:color w:val="000000"/>
          <w:sz w:val="24"/>
        </w:rPr>
        <w:t>程序输出主要保存在 outputs 文件夹：figures 存放趋势图、拟合图、预测图和误差对比图；metrics 存放 SIR 参数、ML 指标、区域 Top 10 表和合并指标表；predictions 存放测试集预测结果以及未来 7 天、14 天预测 CSV。Word 论文中的图表均引用这些程序输出结果。</w:t>
      </w:r>
    </w:p>
    <w:p>
      <w:pPr>
        <w:pStyle w:val="Heading1"/>
      </w:pPr>
      <w:r/>
      <w:bookmarkStart w:id="6" w:name="bm_acdff31792971715"/>
      <w:r>
        <w:rPr>
          <w:rFonts w:ascii="Times New Roman" w:hAnsi="Times New Roman" w:eastAsia="黑体"/>
          <w:b/>
          <w:color w:val="000000"/>
          <w:sz w:val="32"/>
        </w:rPr>
        <w:t>四、疫情传播规律与区域趋势分析</w:t>
      </w:r>
      <w:bookmarkEnd w:id="6"/>
    </w:p>
    <w:p>
      <w:pPr>
        <w:pStyle w:val="BodyText"/>
        <w:jc w:val="left"/>
      </w:pPr>
      <w:r>
        <w:rPr>
          <w:rFonts w:ascii="Times New Roman" w:hAnsi="Times New Roman" w:eastAsia="宋体"/>
          <w:color w:val="000000"/>
          <w:sz w:val="24"/>
        </w:rPr>
        <w:t>从累计趋势看，确诊和死亡序列总体呈阶梯式增长，说明疫情统计并非稳定连续变化，而是受到传播高峰、检测能力、统计口径和集中补报共同影响。每日新增曲线比累计曲线更能暴露短期冲击，因此后续机器学习预测以每日新增为主要目标。</w:t>
      </w:r>
    </w:p>
    <w:p>
      <w:pPr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273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ina_mainland_cumulative_trend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/>
        <w:ind w:firstLine="0"/>
        <w:jc w:val="center"/>
      </w:pPr>
      <w:r>
        <w:rPr>
          <w:rFonts w:ascii="Times New Roman" w:hAnsi="Times New Roman" w:eastAsia="黑体"/>
          <w:b/>
          <w:color w:val="000000"/>
          <w:sz w:val="21"/>
        </w:rPr>
        <w:t>图 1 中国大陆累计确诊、死亡、治愈趋势</w:t>
      </w:r>
    </w:p>
    <w:p>
      <w:pPr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273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ina_mainland_daily_trend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/>
        <w:ind w:firstLine="0"/>
        <w:jc w:val="center"/>
      </w:pPr>
      <w:r>
        <w:rPr>
          <w:rFonts w:ascii="Times New Roman" w:hAnsi="Times New Roman" w:eastAsia="黑体"/>
          <w:b/>
          <w:color w:val="000000"/>
          <w:sz w:val="21"/>
        </w:rPr>
        <w:t>图 2 中国大陆每日新增确诊、死亡、治愈趋势</w:t>
      </w:r>
    </w:p>
    <w:p>
      <w:pPr>
        <w:pStyle w:val="BodyText"/>
        <w:jc w:val="left"/>
      </w:pPr>
      <w:r>
        <w:rPr>
          <w:rFonts w:ascii="Times New Roman" w:hAnsi="Times New Roman" w:eastAsia="宋体"/>
          <w:color w:val="000000"/>
          <w:sz w:val="24"/>
        </w:rPr>
        <w:t>区域传播趋势部分使用省级面板数据绘制累计确诊趋势、每日新增趋势和 Top 10 省份对比。由于 Hong Kong、Macau、Taiwan 和 Unknown 已被排除，这些图反映的是中国大陆省级记录。Top 10 省份代表累计确诊规模较大的地区，但不等同于风险率；若要比较风险率，还需要按人口规模进行标准化。</w:t>
      </w:r>
    </w:p>
    <w:p>
      <w:pPr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273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ina_mainland_province_cumulative_confirmed_trend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/>
        <w:ind w:firstLine="0"/>
        <w:jc w:val="center"/>
      </w:pPr>
      <w:r>
        <w:rPr>
          <w:rFonts w:ascii="Times New Roman" w:hAnsi="Times New Roman" w:eastAsia="黑体"/>
          <w:b/>
          <w:color w:val="000000"/>
          <w:sz w:val="21"/>
        </w:rPr>
        <w:t>图 3 各省累计确诊趋势</w:t>
      </w:r>
    </w:p>
    <w:p>
      <w:pPr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273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ina_mainland_province_daily_confirmed_trend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/>
        <w:ind w:firstLine="0"/>
        <w:jc w:val="center"/>
      </w:pPr>
      <w:r>
        <w:rPr>
          <w:rFonts w:ascii="Times New Roman" w:hAnsi="Times New Roman" w:eastAsia="黑体"/>
          <w:b/>
          <w:color w:val="000000"/>
          <w:sz w:val="21"/>
        </w:rPr>
        <w:t>图 4 各省每日新增确诊趋势</w:t>
      </w:r>
    </w:p>
    <w:p>
      <w:pPr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3283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ina_mainland_province_top10_confirmed_comparis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28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/>
        <w:ind w:firstLine="0"/>
        <w:jc w:val="center"/>
      </w:pPr>
      <w:r>
        <w:rPr>
          <w:rFonts w:ascii="Times New Roman" w:hAnsi="Times New Roman" w:eastAsia="黑体"/>
          <w:b/>
          <w:color w:val="000000"/>
          <w:sz w:val="21"/>
        </w:rPr>
        <w:t>图 5 累计确诊 Top 10 省份对比</w:t>
      </w:r>
    </w:p>
    <w:p>
      <w:pPr>
        <w:spacing w:before="120" w:after="60"/>
        <w:ind w:firstLine="0"/>
        <w:jc w:val="center"/>
      </w:pPr>
      <w:r>
        <w:rPr>
          <w:rFonts w:ascii="Times New Roman" w:hAnsi="Times New Roman" w:eastAsia="黑体"/>
          <w:b/>
          <w:color w:val="000000"/>
          <w:sz w:val="21"/>
        </w:rPr>
        <w:t>表 3 中国大陆累计确诊 Top 10 省份</w:t>
      </w:r>
    </w:p>
    <w:tbl>
      <w:tblPr>
        <w:tblStyle w:val="TableGrid"/>
        <w:tblW w:type="dxa" w:w="910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2300"/>
        <w:gridCol w:w="2300"/>
        <w:gridCol w:w="2300"/>
      </w:tblGrid>
      <w:tr>
        <w:tc>
          <w:tcPr>
            <w:tcW w:type="dxa" w:w="2200"/>
            <w:shd w:fill="F2F2F2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省份</w:t>
            </w:r>
          </w:p>
        </w:tc>
        <w:tc>
          <w:tcPr>
            <w:tcW w:type="dxa" w:w="2300"/>
            <w:shd w:fill="F2F2F2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期末累计确诊</w:t>
            </w:r>
          </w:p>
        </w:tc>
        <w:tc>
          <w:tcPr>
            <w:tcW w:type="dxa" w:w="2300"/>
            <w:shd w:fill="F2F2F2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单日新增峰值</w:t>
            </w:r>
          </w:p>
        </w:tc>
        <w:tc>
          <w:tcPr>
            <w:tcW w:type="dxa" w:w="2300"/>
            <w:shd w:fill="F2F2F2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每日新增合计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Guangdong</w:t>
            </w:r>
          </w:p>
        </w:tc>
        <w:tc>
          <w:tcPr>
            <w:tcW w:type="dxa" w:w="23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103,248</w:t>
            </w:r>
          </w:p>
        </w:tc>
        <w:tc>
          <w:tcPr>
            <w:tcW w:type="dxa" w:w="23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3,508</w:t>
            </w:r>
          </w:p>
        </w:tc>
        <w:tc>
          <w:tcPr>
            <w:tcW w:type="dxa" w:w="23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103,248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Hubei</w:t>
            </w:r>
          </w:p>
        </w:tc>
        <w:tc>
          <w:tcPr>
            <w:tcW w:type="dxa" w:w="23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72,131</w:t>
            </w:r>
          </w:p>
        </w:tc>
        <w:tc>
          <w:tcPr>
            <w:tcW w:type="dxa" w:w="23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14,840</w:t>
            </w:r>
          </w:p>
        </w:tc>
        <w:tc>
          <w:tcPr>
            <w:tcW w:type="dxa" w:w="23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72,132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Shanghai</w:t>
            </w:r>
          </w:p>
        </w:tc>
        <w:tc>
          <w:tcPr>
            <w:tcW w:type="dxa" w:w="23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67,040</w:t>
            </w:r>
          </w:p>
        </w:tc>
        <w:tc>
          <w:tcPr>
            <w:tcW w:type="dxa" w:w="23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5,489</w:t>
            </w:r>
          </w:p>
        </w:tc>
        <w:tc>
          <w:tcPr>
            <w:tcW w:type="dxa" w:w="23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67,629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Beijing</w:t>
            </w:r>
          </w:p>
        </w:tc>
        <w:tc>
          <w:tcPr>
            <w:tcW w:type="dxa" w:w="23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40,774</w:t>
            </w:r>
          </w:p>
        </w:tc>
        <w:tc>
          <w:tcPr>
            <w:tcW w:type="dxa" w:w="23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2,360</w:t>
            </w:r>
          </w:p>
        </w:tc>
        <w:tc>
          <w:tcPr>
            <w:tcW w:type="dxa" w:w="23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40,775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Jilin</w:t>
            </w:r>
          </w:p>
        </w:tc>
        <w:tc>
          <w:tcPr>
            <w:tcW w:type="dxa" w:w="23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40,764</w:t>
            </w:r>
          </w:p>
        </w:tc>
        <w:tc>
          <w:tcPr>
            <w:tcW w:type="dxa" w:w="23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4,222</w:t>
            </w:r>
          </w:p>
        </w:tc>
        <w:tc>
          <w:tcPr>
            <w:tcW w:type="dxa" w:w="23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40,765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Fujian</w:t>
            </w:r>
          </w:p>
        </w:tc>
        <w:tc>
          <w:tcPr>
            <w:tcW w:type="dxa" w:w="23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17,122</w:t>
            </w:r>
          </w:p>
        </w:tc>
        <w:tc>
          <w:tcPr>
            <w:tcW w:type="dxa" w:w="23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1,234</w:t>
            </w:r>
          </w:p>
        </w:tc>
        <w:tc>
          <w:tcPr>
            <w:tcW w:type="dxa" w:w="23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17,195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Chongqing</w:t>
            </w:r>
          </w:p>
        </w:tc>
        <w:tc>
          <w:tcPr>
            <w:tcW w:type="dxa" w:w="23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14,715</w:t>
            </w:r>
          </w:p>
        </w:tc>
        <w:tc>
          <w:tcPr>
            <w:tcW w:type="dxa" w:w="23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654</w:t>
            </w:r>
          </w:p>
        </w:tc>
        <w:tc>
          <w:tcPr>
            <w:tcW w:type="dxa" w:w="23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14,715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Sichuan</w:t>
            </w:r>
          </w:p>
        </w:tc>
        <w:tc>
          <w:tcPr>
            <w:tcW w:type="dxa" w:w="23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14,567</w:t>
            </w:r>
          </w:p>
        </w:tc>
        <w:tc>
          <w:tcPr>
            <w:tcW w:type="dxa" w:w="23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475</w:t>
            </w:r>
          </w:p>
        </w:tc>
        <w:tc>
          <w:tcPr>
            <w:tcW w:type="dxa" w:w="23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14,567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Guangxi</w:t>
            </w:r>
          </w:p>
        </w:tc>
        <w:tc>
          <w:tcPr>
            <w:tcW w:type="dxa" w:w="23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13,371</w:t>
            </w:r>
          </w:p>
        </w:tc>
        <w:tc>
          <w:tcPr>
            <w:tcW w:type="dxa" w:w="23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2,046</w:t>
            </w:r>
          </w:p>
        </w:tc>
        <w:tc>
          <w:tcPr>
            <w:tcW w:type="dxa" w:w="23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13,371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Zhejiang</w:t>
            </w:r>
          </w:p>
        </w:tc>
        <w:tc>
          <w:tcPr>
            <w:tcW w:type="dxa" w:w="23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11,848</w:t>
            </w:r>
          </w:p>
        </w:tc>
        <w:tc>
          <w:tcPr>
            <w:tcW w:type="dxa" w:w="23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4,220</w:t>
            </w:r>
          </w:p>
        </w:tc>
        <w:tc>
          <w:tcPr>
            <w:tcW w:type="dxa" w:w="23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11,848</w:t>
            </w:r>
          </w:p>
        </w:tc>
      </w:tr>
    </w:tbl>
    <w:p>
      <w:pPr>
        <w:pStyle w:val="Heading1"/>
      </w:pPr>
      <w:r/>
      <w:bookmarkStart w:id="7" w:name="bm_4ac6a674f4f9eced"/>
      <w:r>
        <w:rPr>
          <w:rFonts w:ascii="Times New Roman" w:hAnsi="Times New Roman" w:eastAsia="黑体"/>
          <w:b/>
          <w:color w:val="000000"/>
          <w:sz w:val="32"/>
        </w:rPr>
        <w:t>五、固定参数 SIR 模型</w:t>
      </w:r>
      <w:bookmarkEnd w:id="7"/>
    </w:p>
    <w:p>
      <w:pPr>
        <w:pStyle w:val="BodyText"/>
        <w:jc w:val="left"/>
      </w:pPr>
      <w:r>
        <w:rPr>
          <w:rFonts w:ascii="Times New Roman" w:hAnsi="Times New Roman" w:eastAsia="宋体"/>
          <w:color w:val="000000"/>
          <w:sz w:val="24"/>
        </w:rPr>
        <w:t>SIR 模型将人群划分为易感者 S、感染者 I 和移除者 R。本文用 confirmed - recovered - deaths 近似感染者，用 recovered + deaths 近似移除者。固定参数 SIR 假设 β 和 γ 在拟合窗口内保持不变，因此更适合解释平均传播强度，而不是精确追踪每一个统计突变点。</w:t>
      </w:r>
    </w:p>
    <w:p>
      <w:pPr>
        <w:spacing w:line="360" w:lineRule="auto" w:before="60" w:after="60"/>
        <w:ind w:firstLine="0"/>
        <w:jc w:val="center"/>
      </w:pPr>
      <m:oMath>
        <m:r>
          <m:t>dS/dt = -βSI/N</m:t>
        </m:r>
      </m:oMath>
      <w:r>
        <w:rPr>
          <w:rFonts w:ascii="Times New Roman" w:hAnsi="Times New Roman" w:eastAsia="宋体"/>
          <w:color w:val="000000"/>
          <w:sz w:val="24"/>
        </w:rPr>
        <w:t xml:space="preserve">    （5）</w:t>
      </w:r>
    </w:p>
    <w:p>
      <w:pPr>
        <w:spacing w:line="360" w:lineRule="auto" w:before="60" w:after="60"/>
        <w:ind w:firstLine="0"/>
        <w:jc w:val="center"/>
      </w:pPr>
      <m:oMath>
        <m:r>
          <m:t>dI/dt = βSI/N - γI</m:t>
        </m:r>
      </m:oMath>
      <w:r>
        <w:rPr>
          <w:rFonts w:ascii="Times New Roman" w:hAnsi="Times New Roman" w:eastAsia="宋体"/>
          <w:color w:val="000000"/>
          <w:sz w:val="24"/>
        </w:rPr>
        <w:t xml:space="preserve">    （6）</w:t>
      </w:r>
    </w:p>
    <w:p>
      <w:pPr>
        <w:spacing w:line="360" w:lineRule="auto" w:before="60" w:after="60"/>
        <w:ind w:firstLine="0"/>
        <w:jc w:val="center"/>
      </w:pPr>
      <m:oMath>
        <m:r>
          <m:t>dR/dt = γI</m:t>
        </m:r>
      </m:oMath>
      <w:r>
        <w:rPr>
          <w:rFonts w:ascii="Times New Roman" w:hAnsi="Times New Roman" w:eastAsia="宋体"/>
          <w:color w:val="000000"/>
          <w:sz w:val="24"/>
        </w:rPr>
        <w:t xml:space="preserve">    （7）</w:t>
      </w:r>
    </w:p>
    <w:p>
      <w:pPr>
        <w:spacing w:line="360" w:lineRule="auto" w:before="60" w:after="60"/>
        <w:ind w:firstLine="0"/>
        <w:jc w:val="center"/>
      </w:pPr>
      <m:oMath>
        <m:r>
          <m:t>R0 = β/γ</m:t>
        </m:r>
      </m:oMath>
      <w:r>
        <w:rPr>
          <w:rFonts w:ascii="Times New Roman" w:hAnsi="Times New Roman" w:eastAsia="宋体"/>
          <w:color w:val="000000"/>
          <w:sz w:val="24"/>
        </w:rPr>
        <w:t xml:space="preserve">    （8）</w:t>
      </w:r>
    </w:p>
    <w:p>
      <w:pPr>
        <w:pStyle w:val="BodyText"/>
        <w:jc w:val="left"/>
      </w:pPr>
      <w:r>
        <w:rPr>
          <w:rFonts w:ascii="Times New Roman" w:hAnsi="Times New Roman" w:eastAsia="宋体"/>
          <w:color w:val="000000"/>
          <w:sz w:val="24"/>
        </w:rPr>
        <w:t>其中 β 表示传播率，γ 表示移除率，R0 可近似衡量传播强度。降低接触率会降低 β，提高隔离、治疗和恢复效率会提高 γ，二者共同决定疫情是否趋于扩散。</w:t>
      </w:r>
    </w:p>
    <w:p>
      <w:pPr>
        <w:spacing w:before="120" w:after="60"/>
        <w:ind w:firstLine="0"/>
        <w:jc w:val="center"/>
      </w:pPr>
      <w:r>
        <w:rPr>
          <w:rFonts w:ascii="Times New Roman" w:hAnsi="Times New Roman" w:eastAsia="黑体"/>
          <w:b/>
          <w:color w:val="000000"/>
          <w:sz w:val="21"/>
        </w:rPr>
        <w:t>表 4 固定参数 SIR 拟合参数</w:t>
      </w:r>
    </w:p>
    <w:tbl>
      <w:tblPr>
        <w:tblStyle w:val="TableGrid"/>
        <w:tblW w:type="dxa" w:w="8500"/>
        <w:jc w:val="center"/>
        <w:tblLayout w:type="fixed"/>
        <w:tblLook w:firstColumn="1" w:firstRow="1" w:lastColumn="0" w:lastRow="0" w:noHBand="0" w:noVBand="1" w:val="04A0"/>
      </w:tblPr>
      <w:tblGrid>
        <w:gridCol w:w="1100"/>
        <w:gridCol w:w="1100"/>
        <w:gridCol w:w="800"/>
        <w:gridCol w:w="1100"/>
        <w:gridCol w:w="1100"/>
        <w:gridCol w:w="1200"/>
        <w:gridCol w:w="2100"/>
      </w:tblGrid>
      <w:tr>
        <w:tc>
          <w:tcPr>
            <w:tcW w:type="dxa" w:w="1100"/>
            <w:shd w:fill="F2F2F2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开始</w:t>
            </w:r>
          </w:p>
        </w:tc>
        <w:tc>
          <w:tcPr>
            <w:tcW w:type="dxa" w:w="1100"/>
            <w:shd w:fill="F2F2F2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结束</w:t>
            </w:r>
          </w:p>
        </w:tc>
        <w:tc>
          <w:tcPr>
            <w:tcW w:type="dxa" w:w="800"/>
            <w:shd w:fill="F2F2F2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天数</w:t>
            </w:r>
          </w:p>
        </w:tc>
        <w:tc>
          <w:tcPr>
            <w:tcW w:type="dxa" w:w="1100"/>
            <w:shd w:fill="F2F2F2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β</w:t>
            </w:r>
          </w:p>
        </w:tc>
        <w:tc>
          <w:tcPr>
            <w:tcW w:type="dxa" w:w="1100"/>
            <w:shd w:fill="F2F2F2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γ</w:t>
            </w:r>
          </w:p>
        </w:tc>
        <w:tc>
          <w:tcPr>
            <w:tcW w:type="dxa" w:w="1200"/>
            <w:shd w:fill="F2F2F2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R0</w:t>
            </w:r>
          </w:p>
        </w:tc>
        <w:tc>
          <w:tcPr>
            <w:tcW w:type="dxa" w:w="2100"/>
            <w:shd w:fill="F2F2F2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有效人口</w:t>
            </w:r>
          </w:p>
        </w:tc>
      </w:tr>
      <w:tr>
        <w:tc>
          <w:tcPr>
            <w:tcW w:type="dxa" w:w="11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2020-01-22</w:t>
            </w:r>
          </w:p>
        </w:tc>
        <w:tc>
          <w:tcPr>
            <w:tcW w:type="dxa" w:w="11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2020-07-19</w:t>
            </w:r>
          </w:p>
        </w:tc>
        <w:tc>
          <w:tcPr>
            <w:tcW w:type="dxa" w:w="8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180</w:t>
            </w:r>
          </w:p>
        </w:tc>
        <w:tc>
          <w:tcPr>
            <w:tcW w:type="dxa" w:w="11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0.327</w:t>
            </w:r>
          </w:p>
        </w:tc>
        <w:tc>
          <w:tcPr>
            <w:tcW w:type="dxa" w:w="11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0.048</w:t>
            </w:r>
          </w:p>
        </w:tc>
        <w:tc>
          <w:tcPr>
            <w:tcW w:type="dxa" w:w="12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6.805</w:t>
            </w:r>
          </w:p>
        </w:tc>
        <w:tc>
          <w:tcPr>
            <w:tcW w:type="dxa" w:w="21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84,517</w:t>
            </w:r>
          </w:p>
        </w:tc>
      </w:tr>
    </w:tbl>
    <w:p>
      <w:pPr>
        <w:pStyle w:val="BodyText"/>
        <w:jc w:val="left"/>
      </w:pPr>
      <w:r>
        <w:rPr>
          <w:rFonts w:ascii="Times New Roman" w:hAnsi="Times New Roman" w:eastAsia="宋体"/>
          <w:color w:val="000000"/>
          <w:sz w:val="24"/>
        </w:rPr>
        <w:t>表 4 中的有效人口不是中国大陆真实总人口，而是 SIR 早期拟合窗口中的有效传播规模参数，表示参与该阶段传播和统计观测的近似规模。由于真实疫情传播受到检测能力、统计口径和区域隔离等因素影响，该参数更适合作为拟合尺度解释，而不能直接理解为实际人口规模。</w:t>
      </w:r>
    </w:p>
    <w:p>
      <w:pPr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397963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ina_mainland_sir_fi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979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/>
        <w:ind w:firstLine="0"/>
        <w:jc w:val="center"/>
      </w:pPr>
      <w:r>
        <w:rPr>
          <w:rFonts w:ascii="Times New Roman" w:hAnsi="Times New Roman" w:eastAsia="黑体"/>
          <w:b/>
          <w:color w:val="000000"/>
          <w:sz w:val="21"/>
        </w:rPr>
        <w:t>图 6 固定参数 SIR 模型拟合结果</w:t>
      </w:r>
    </w:p>
    <w:p>
      <w:pPr>
        <w:spacing w:before="120" w:after="60"/>
        <w:ind w:firstLine="0"/>
        <w:jc w:val="center"/>
      </w:pPr>
      <w:r>
        <w:rPr>
          <w:rFonts w:ascii="Times New Roman" w:hAnsi="Times New Roman" w:eastAsia="黑体"/>
          <w:b/>
          <w:color w:val="000000"/>
          <w:sz w:val="21"/>
        </w:rPr>
        <w:t>表 5 固定参数 SIR 模型评价指标</w:t>
      </w:r>
    </w:p>
    <w:tbl>
      <w:tblPr>
        <w:tblStyle w:val="TableGrid"/>
        <w:tblW w:type="dxa" w:w="920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2200"/>
        <w:gridCol w:w="1800"/>
        <w:gridCol w:w="1800"/>
        <w:gridCol w:w="1200"/>
      </w:tblGrid>
      <w:tr>
        <w:tc>
          <w:tcPr>
            <w:tcW w:type="dxa" w:w="2200"/>
            <w:shd w:fill="F2F2F2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变量</w:t>
            </w:r>
          </w:p>
        </w:tc>
        <w:tc>
          <w:tcPr>
            <w:tcW w:type="dxa" w:w="2200"/>
            <w:shd w:fill="F2F2F2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模型</w:t>
            </w:r>
          </w:p>
        </w:tc>
        <w:tc>
          <w:tcPr>
            <w:tcW w:type="dxa" w:w="1800"/>
            <w:shd w:fill="F2F2F2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RMSE</w:t>
            </w:r>
          </w:p>
        </w:tc>
        <w:tc>
          <w:tcPr>
            <w:tcW w:type="dxa" w:w="1800"/>
            <w:shd w:fill="F2F2F2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MAE</w:t>
            </w:r>
          </w:p>
        </w:tc>
        <w:tc>
          <w:tcPr>
            <w:tcW w:type="dxa" w:w="1200"/>
            <w:shd w:fill="F2F2F2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R²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line="288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active_infected</w:t>
            </w:r>
          </w:p>
        </w:tc>
        <w:tc>
          <w:tcPr>
            <w:tcW w:type="dxa" w:w="2200"/>
            <w:vAlign w:val="center"/>
          </w:tcPr>
          <w:p>
            <w:pPr>
              <w:spacing w:line="288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SIR</w:t>
            </w:r>
          </w:p>
        </w:tc>
        <w:tc>
          <w:tcPr>
            <w:tcW w:type="dxa" w:w="18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4,010.700</w:t>
            </w:r>
          </w:p>
        </w:tc>
        <w:tc>
          <w:tcPr>
            <w:tcW w:type="dxa" w:w="18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2,797.289</w:t>
            </w:r>
          </w:p>
        </w:tc>
        <w:tc>
          <w:tcPr>
            <w:tcW w:type="dxa" w:w="12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0.940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line="288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removed</w:t>
            </w:r>
          </w:p>
        </w:tc>
        <w:tc>
          <w:tcPr>
            <w:tcW w:type="dxa" w:w="2200"/>
            <w:vAlign w:val="center"/>
          </w:tcPr>
          <w:p>
            <w:pPr>
              <w:spacing w:line="288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SIR</w:t>
            </w:r>
          </w:p>
        </w:tc>
        <w:tc>
          <w:tcPr>
            <w:tcW w:type="dxa" w:w="18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3,857.373</w:t>
            </w:r>
          </w:p>
        </w:tc>
        <w:tc>
          <w:tcPr>
            <w:tcW w:type="dxa" w:w="18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2,361.081</w:t>
            </w:r>
          </w:p>
        </w:tc>
        <w:tc>
          <w:tcPr>
            <w:tcW w:type="dxa" w:w="12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0.983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line="288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confirmed</w:t>
            </w:r>
          </w:p>
        </w:tc>
        <w:tc>
          <w:tcPr>
            <w:tcW w:type="dxa" w:w="2200"/>
            <w:vAlign w:val="center"/>
          </w:tcPr>
          <w:p>
            <w:pPr>
              <w:spacing w:line="288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SIR</w:t>
            </w:r>
          </w:p>
        </w:tc>
        <w:tc>
          <w:tcPr>
            <w:tcW w:type="dxa" w:w="18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2,583.123</w:t>
            </w:r>
          </w:p>
        </w:tc>
        <w:tc>
          <w:tcPr>
            <w:tcW w:type="dxa" w:w="18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2,104.141</w:t>
            </w:r>
          </w:p>
        </w:tc>
        <w:tc>
          <w:tcPr>
            <w:tcW w:type="dxa" w:w="12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0.986</w:t>
            </w:r>
          </w:p>
        </w:tc>
      </w:tr>
    </w:tbl>
    <w:p>
      <w:pPr>
        <w:pStyle w:val="Heading1"/>
      </w:pPr>
      <w:r/>
      <w:bookmarkStart w:id="8" w:name="bm_c7d66c61ecc60220"/>
      <w:r>
        <w:rPr>
          <w:rFonts w:ascii="Times New Roman" w:hAnsi="Times New Roman" w:eastAsia="黑体"/>
          <w:b/>
          <w:color w:val="000000"/>
          <w:sz w:val="32"/>
        </w:rPr>
        <w:t>六、时变参数 SIR 模型</w:t>
      </w:r>
      <w:bookmarkEnd w:id="8"/>
    </w:p>
    <w:p>
      <w:pPr>
        <w:pStyle w:val="BodyText"/>
        <w:jc w:val="left"/>
      </w:pPr>
      <w:r>
        <w:rPr>
          <w:rFonts w:ascii="Times New Roman" w:hAnsi="Times New Roman" w:eastAsia="宋体"/>
          <w:color w:val="000000"/>
          <w:sz w:val="24"/>
        </w:rPr>
        <w:t>时变参数 SIR 将 β 和 γ 扩展为 β(t) 和 γ(t)，用于刻画传播率和移除率随时间变化的现象。这类模型可以更好地重构历史曲线，但必须谨慎解释：本文的 TimeVaryingSIR 是基于历史观测反推参数后的描述性拟合/重构模型，不应与测试集预测模型直接比较。</w:t>
      </w:r>
    </w:p>
    <w:p>
      <w:pPr>
        <w:spacing w:line="360" w:lineRule="auto" w:before="60" w:after="60"/>
        <w:ind w:firstLine="0"/>
        <w:jc w:val="center"/>
      </w:pPr>
      <m:oMath>
        <m:r>
          <m:t>dS/dt = -β(t)SI/N</m:t>
        </m:r>
      </m:oMath>
      <w:r>
        <w:rPr>
          <w:rFonts w:ascii="Times New Roman" w:hAnsi="Times New Roman" w:eastAsia="宋体"/>
          <w:color w:val="000000"/>
          <w:sz w:val="24"/>
        </w:rPr>
        <w:t xml:space="preserve">    （9）</w:t>
      </w:r>
    </w:p>
    <w:p>
      <w:pPr>
        <w:spacing w:line="360" w:lineRule="auto" w:before="60" w:after="60"/>
        <w:ind w:firstLine="0"/>
        <w:jc w:val="center"/>
      </w:pPr>
      <m:oMath>
        <m:r>
          <m:t>dI/dt = β(t)SI/N - γ(t)I</m:t>
        </m:r>
      </m:oMath>
      <w:r>
        <w:rPr>
          <w:rFonts w:ascii="Times New Roman" w:hAnsi="Times New Roman" w:eastAsia="宋体"/>
          <w:color w:val="000000"/>
          <w:sz w:val="24"/>
        </w:rPr>
        <w:t xml:space="preserve">    （10）</w:t>
      </w:r>
    </w:p>
    <w:p>
      <w:pPr>
        <w:spacing w:line="360" w:lineRule="auto" w:before="60" w:after="60"/>
        <w:ind w:firstLine="0"/>
        <w:jc w:val="center"/>
      </w:pPr>
      <m:oMath>
        <m:r>
          <m:t>R_t = β(t)/γ(t)</m:t>
        </m:r>
      </m:oMath>
      <w:r>
        <w:rPr>
          <w:rFonts w:ascii="Times New Roman" w:hAnsi="Times New Roman" w:eastAsia="宋体"/>
          <w:color w:val="000000"/>
          <w:sz w:val="24"/>
        </w:rPr>
        <w:t xml:space="preserve">    （11）</w:t>
      </w:r>
    </w:p>
    <w:p>
      <w:pPr>
        <w:pStyle w:val="BodyText"/>
        <w:jc w:val="left"/>
      </w:pPr>
      <w:r>
        <w:rPr>
          <w:rFonts w:ascii="Times New Roman" w:hAnsi="Times New Roman" w:eastAsia="宋体"/>
          <w:color w:val="000000"/>
          <w:sz w:val="24"/>
        </w:rPr>
        <w:t>因此，若表中出现 R² 接近 1.000，并不表示模型拥有完美未来预测能力，而表示它在使用完整历史数据反推参数后能够高度贴合历史状态。该结果主要服务于解释传播强度的阶段性变化，而不是作为与 Naive、LinearRegression、RandomForest、GradientBoosting 同口径的测试集预测结果。</w:t>
      </w:r>
    </w:p>
    <w:p>
      <w:pPr>
        <w:spacing w:before="120" w:after="60"/>
        <w:ind w:firstLine="0"/>
        <w:jc w:val="center"/>
      </w:pPr>
      <w:r>
        <w:rPr>
          <w:rFonts w:ascii="Times New Roman" w:hAnsi="Times New Roman" w:eastAsia="黑体"/>
          <w:b/>
          <w:color w:val="000000"/>
          <w:sz w:val="21"/>
        </w:rPr>
        <w:t>表 6 时变参数 SIR 关键参数</w:t>
      </w:r>
    </w:p>
    <w:tbl>
      <w:tblPr>
        <w:tblStyle w:val="TableGrid"/>
        <w:tblW w:type="dxa" w:w="7800"/>
        <w:jc w:val="center"/>
        <w:tblLayout w:type="fixed"/>
        <w:tblLook w:firstColumn="1" w:firstRow="1" w:lastColumn="0" w:lastRow="0" w:noHBand="0" w:noVBand="1" w:val="04A0"/>
      </w:tblPr>
      <w:tblGrid>
        <w:gridCol w:w="1050"/>
        <w:gridCol w:w="1050"/>
        <w:gridCol w:w="800"/>
        <w:gridCol w:w="1150"/>
        <w:gridCol w:w="1150"/>
        <w:gridCol w:w="1300"/>
        <w:gridCol w:w="1300"/>
      </w:tblGrid>
      <w:tr>
        <w:tc>
          <w:tcPr>
            <w:tcW w:type="dxa" w:w="1050"/>
            <w:shd w:fill="F2F2F2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开始</w:t>
            </w:r>
          </w:p>
        </w:tc>
        <w:tc>
          <w:tcPr>
            <w:tcW w:type="dxa" w:w="1050"/>
            <w:shd w:fill="F2F2F2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结束</w:t>
            </w:r>
          </w:p>
        </w:tc>
        <w:tc>
          <w:tcPr>
            <w:tcW w:type="dxa" w:w="800"/>
            <w:shd w:fill="F2F2F2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天数</w:t>
            </w:r>
          </w:p>
        </w:tc>
        <w:tc>
          <w:tcPr>
            <w:tcW w:type="dxa" w:w="1150"/>
            <w:shd w:fill="F2F2F2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平均β</w:t>
            </w:r>
          </w:p>
        </w:tc>
        <w:tc>
          <w:tcPr>
            <w:tcW w:type="dxa" w:w="1150"/>
            <w:shd w:fill="F2F2F2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平均γ</w:t>
            </w:r>
          </w:p>
        </w:tc>
        <w:tc>
          <w:tcPr>
            <w:tcW w:type="dxa" w:w="1300"/>
            <w:shd w:fill="F2F2F2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平均R0</w:t>
            </w:r>
          </w:p>
        </w:tc>
        <w:tc>
          <w:tcPr>
            <w:tcW w:type="dxa" w:w="1300"/>
            <w:shd w:fill="F2F2F2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期末R0</w:t>
            </w:r>
          </w:p>
        </w:tc>
      </w:tr>
      <w:tr>
        <w:tc>
          <w:tcPr>
            <w:tcW w:type="dxa" w:w="105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2020-01-22</w:t>
            </w:r>
          </w:p>
        </w:tc>
        <w:tc>
          <w:tcPr>
            <w:tcW w:type="dxa" w:w="105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2020-07-19</w:t>
            </w:r>
          </w:p>
        </w:tc>
        <w:tc>
          <w:tcPr>
            <w:tcW w:type="dxa" w:w="8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180</w:t>
            </w:r>
          </w:p>
        </w:tc>
        <w:tc>
          <w:tcPr>
            <w:tcW w:type="dxa" w:w="115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0.075</w:t>
            </w:r>
          </w:p>
        </w:tc>
        <w:tc>
          <w:tcPr>
            <w:tcW w:type="dxa" w:w="115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0.064</w:t>
            </w:r>
          </w:p>
        </w:tc>
        <w:tc>
          <w:tcPr>
            <w:tcW w:type="dxa" w:w="13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1.178</w:t>
            </w:r>
          </w:p>
        </w:tc>
        <w:tc>
          <w:tcPr>
            <w:tcW w:type="dxa" w:w="13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0.555</w:t>
            </w:r>
          </w:p>
        </w:tc>
      </w:tr>
    </w:tbl>
    <w:p>
      <w:pPr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497454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ina_mainland_time_varying_sir_fi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974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/>
        <w:ind w:firstLine="0"/>
        <w:jc w:val="center"/>
      </w:pPr>
      <w:r>
        <w:rPr>
          <w:rFonts w:ascii="Times New Roman" w:hAnsi="Times New Roman" w:eastAsia="黑体"/>
          <w:b/>
          <w:color w:val="000000"/>
          <w:sz w:val="21"/>
        </w:rPr>
        <w:t>图 7 时变参数 SIR 历史重构结果</w:t>
      </w:r>
    </w:p>
    <w:p>
      <w:pPr>
        <w:spacing w:before="120" w:after="60"/>
        <w:ind w:firstLine="0"/>
        <w:jc w:val="center"/>
      </w:pPr>
      <w:r>
        <w:rPr>
          <w:rFonts w:ascii="Times New Roman" w:hAnsi="Times New Roman" w:eastAsia="黑体"/>
          <w:b/>
          <w:color w:val="000000"/>
          <w:sz w:val="21"/>
        </w:rPr>
        <w:t>表 7 时变参数 SIR 描述性重构指标</w:t>
      </w:r>
    </w:p>
    <w:tbl>
      <w:tblPr>
        <w:tblStyle w:val="TableGrid"/>
        <w:tblW w:type="dxa" w:w="860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1700"/>
        <w:gridCol w:w="2400"/>
        <w:gridCol w:w="1200"/>
        <w:gridCol w:w="1200"/>
        <w:gridCol w:w="900"/>
      </w:tblGrid>
      <w:tr>
        <w:tc>
          <w:tcPr>
            <w:tcW w:type="dxa" w:w="1200"/>
            <w:shd w:fill="F2F2F2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变量</w:t>
            </w:r>
          </w:p>
        </w:tc>
        <w:tc>
          <w:tcPr>
            <w:tcW w:type="dxa" w:w="1700"/>
            <w:shd w:fill="F2F2F2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模型</w:t>
            </w:r>
          </w:p>
        </w:tc>
        <w:tc>
          <w:tcPr>
            <w:tcW w:type="dxa" w:w="2400"/>
            <w:shd w:fill="F2F2F2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评价口径</w:t>
            </w:r>
          </w:p>
        </w:tc>
        <w:tc>
          <w:tcPr>
            <w:tcW w:type="dxa" w:w="1200"/>
            <w:shd w:fill="F2F2F2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RMSE</w:t>
            </w:r>
          </w:p>
        </w:tc>
        <w:tc>
          <w:tcPr>
            <w:tcW w:type="dxa" w:w="1200"/>
            <w:shd w:fill="F2F2F2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MAE</w:t>
            </w:r>
          </w:p>
        </w:tc>
        <w:tc>
          <w:tcPr>
            <w:tcW w:type="dxa" w:w="900"/>
            <w:shd w:fill="F2F2F2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R²</w:t>
            </w:r>
          </w:p>
        </w:tc>
      </w:tr>
      <w:tr>
        <w:tc>
          <w:tcPr>
            <w:tcW w:type="dxa" w:w="1200"/>
            <w:vAlign w:val="center"/>
          </w:tcPr>
          <w:p>
            <w:pPr>
              <w:spacing w:line="288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active_infected</w:t>
            </w:r>
          </w:p>
        </w:tc>
        <w:tc>
          <w:tcPr>
            <w:tcW w:type="dxa" w:w="1700"/>
            <w:vAlign w:val="center"/>
          </w:tcPr>
          <w:p>
            <w:pPr>
              <w:spacing w:line="288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TimeVaryingSIR</w:t>
            </w:r>
          </w:p>
        </w:tc>
        <w:tc>
          <w:tcPr>
            <w:tcW w:type="dxa" w:w="2400"/>
            <w:vAlign w:val="center"/>
          </w:tcPr>
          <w:p>
            <w:pPr>
              <w:spacing w:line="288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descriptive_reconstruction</w:t>
            </w:r>
          </w:p>
        </w:tc>
        <w:tc>
          <w:tcPr>
            <w:tcW w:type="dxa" w:w="12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0.002</w:t>
            </w:r>
          </w:p>
        </w:tc>
        <w:tc>
          <w:tcPr>
            <w:tcW w:type="dxa" w:w="12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0.002</w:t>
            </w:r>
          </w:p>
        </w:tc>
        <w:tc>
          <w:tcPr>
            <w:tcW w:type="dxa" w:w="9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1.000</w:t>
            </w:r>
          </w:p>
        </w:tc>
      </w:tr>
      <w:tr>
        <w:tc>
          <w:tcPr>
            <w:tcW w:type="dxa" w:w="1200"/>
            <w:vAlign w:val="center"/>
          </w:tcPr>
          <w:p>
            <w:pPr>
              <w:spacing w:line="288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removed</w:t>
            </w:r>
          </w:p>
        </w:tc>
        <w:tc>
          <w:tcPr>
            <w:tcW w:type="dxa" w:w="1700"/>
            <w:vAlign w:val="center"/>
          </w:tcPr>
          <w:p>
            <w:pPr>
              <w:spacing w:line="288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TimeVaryingSIR</w:t>
            </w:r>
          </w:p>
        </w:tc>
        <w:tc>
          <w:tcPr>
            <w:tcW w:type="dxa" w:w="2400"/>
            <w:vAlign w:val="center"/>
          </w:tcPr>
          <w:p>
            <w:pPr>
              <w:spacing w:line="288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descriptive_reconstruction</w:t>
            </w:r>
          </w:p>
        </w:tc>
        <w:tc>
          <w:tcPr>
            <w:tcW w:type="dxa" w:w="12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0.002</w:t>
            </w:r>
          </w:p>
        </w:tc>
        <w:tc>
          <w:tcPr>
            <w:tcW w:type="dxa" w:w="12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0.001</w:t>
            </w:r>
          </w:p>
        </w:tc>
        <w:tc>
          <w:tcPr>
            <w:tcW w:type="dxa" w:w="9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1.000</w:t>
            </w:r>
          </w:p>
        </w:tc>
      </w:tr>
      <w:tr>
        <w:tc>
          <w:tcPr>
            <w:tcW w:type="dxa" w:w="1200"/>
            <w:vAlign w:val="center"/>
          </w:tcPr>
          <w:p>
            <w:pPr>
              <w:spacing w:line="288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confirmed</w:t>
            </w:r>
          </w:p>
        </w:tc>
        <w:tc>
          <w:tcPr>
            <w:tcW w:type="dxa" w:w="1700"/>
            <w:vAlign w:val="center"/>
          </w:tcPr>
          <w:p>
            <w:pPr>
              <w:spacing w:line="288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TimeVaryingSIR</w:t>
            </w:r>
          </w:p>
        </w:tc>
        <w:tc>
          <w:tcPr>
            <w:tcW w:type="dxa" w:w="2400"/>
            <w:vAlign w:val="center"/>
          </w:tcPr>
          <w:p>
            <w:pPr>
              <w:spacing w:line="288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descriptive_reconstruction</w:t>
            </w:r>
          </w:p>
        </w:tc>
        <w:tc>
          <w:tcPr>
            <w:tcW w:type="dxa" w:w="12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0.004</w:t>
            </w:r>
          </w:p>
        </w:tc>
        <w:tc>
          <w:tcPr>
            <w:tcW w:type="dxa" w:w="12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0.002</w:t>
            </w:r>
          </w:p>
        </w:tc>
        <w:tc>
          <w:tcPr>
            <w:tcW w:type="dxa" w:w="9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1.000</w:t>
            </w:r>
          </w:p>
        </w:tc>
      </w:tr>
    </w:tbl>
    <w:p>
      <w:pPr>
        <w:pStyle w:val="Heading1"/>
      </w:pPr>
      <w:r/>
      <w:bookmarkStart w:id="9" w:name="bm_27c05197194c074b"/>
      <w:r>
        <w:rPr>
          <w:rFonts w:ascii="Times New Roman" w:hAnsi="Times New Roman" w:eastAsia="黑体"/>
          <w:b/>
          <w:color w:val="000000"/>
          <w:sz w:val="32"/>
        </w:rPr>
        <w:t>七、机器学习每日新增预测模型</w:t>
      </w:r>
      <w:bookmarkEnd w:id="9"/>
    </w:p>
    <w:p>
      <w:pPr>
        <w:pStyle w:val="BodyText"/>
        <w:jc w:val="left"/>
      </w:pPr>
      <w:r>
        <w:rPr>
          <w:rFonts w:ascii="Times New Roman" w:hAnsi="Times New Roman" w:eastAsia="宋体"/>
          <w:color w:val="000000"/>
          <w:sz w:val="24"/>
        </w:rPr>
        <w:t>机器学习部分以每日新增确诊、每日新增死亡和每日新增治愈为目标变量，构造滞后值、滚动均值、滚动中位数、滚动标准差、指数滑动均值、日期序号、星期和月份等特征。所有特征只使用预测日期之前的信息，避免未来信息泄露。未来多步预测采用递推方式：先预测第 1 天，再将预测值加入历史序列构造第 2 天特征。</w:t>
      </w:r>
    </w:p>
    <w:p>
      <w:pPr>
        <w:pStyle w:val="BodyText"/>
        <w:jc w:val="left"/>
      </w:pPr>
      <w:r>
        <w:rPr>
          <w:rFonts w:ascii="Times New Roman" w:hAnsi="Times New Roman" w:eastAsia="宋体"/>
          <w:color w:val="000000"/>
          <w:sz w:val="24"/>
        </w:rPr>
        <w:t>本节不再只展示 GradientBoosting，而是同时比较 NaivePersistence、LinearRegression、RandomForest 和 GradientBoosting。其中 GradientBoosting 参数为 n_estimators=500、learning_rate=0.03、max_depth=2、random_state=42；RandomForest 使用 n_estimators=500、max_depth=10、random_state=42。</w:t>
      </w:r>
    </w:p>
    <w:p>
      <w:pPr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248727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ina_mainland_confirmed_ml_test_predict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48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/>
        <w:ind w:firstLine="0"/>
        <w:jc w:val="center"/>
      </w:pPr>
      <w:r>
        <w:rPr>
          <w:rFonts w:ascii="Times New Roman" w:hAnsi="Times New Roman" w:eastAsia="黑体"/>
          <w:b/>
          <w:color w:val="000000"/>
          <w:sz w:val="21"/>
        </w:rPr>
        <w:t>图 8 每日新增确诊测试集预测对比</w:t>
      </w:r>
    </w:p>
    <w:p>
      <w:pPr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248727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ina_mainland_deaths_ml_test_predic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48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/>
        <w:ind w:firstLine="0"/>
        <w:jc w:val="center"/>
      </w:pPr>
      <w:r>
        <w:rPr>
          <w:rFonts w:ascii="Times New Roman" w:hAnsi="Times New Roman" w:eastAsia="黑体"/>
          <w:b/>
          <w:color w:val="000000"/>
          <w:sz w:val="21"/>
        </w:rPr>
        <w:t>图 9 每日新增死亡测试集预测对比</w:t>
      </w:r>
    </w:p>
    <w:p>
      <w:pPr>
        <w:pStyle w:val="BodyText"/>
        <w:jc w:val="left"/>
      </w:pPr>
      <w:r>
        <w:rPr>
          <w:rFonts w:ascii="Times New Roman" w:hAnsi="Times New Roman" w:eastAsia="宋体"/>
          <w:color w:val="000000"/>
          <w:sz w:val="24"/>
        </w:rPr>
        <w:t>每日新增确诊和死亡使用相同时间窗口：confirmed 训练 892 行、测试 223 行，测试期从 2022-07-30 开始；deaths 训练 892 行、测试 223 行，测试期从 2022-07-30 开始。recovered 因可靠更新时间截止于 2021-08-04，使用 426 行训练、107 行测试，测试期从 2021-04-20 开始。</w:t>
      </w:r>
    </w:p>
    <w:p>
      <w:pPr>
        <w:spacing w:before="120" w:after="60"/>
        <w:ind w:firstLine="0"/>
        <w:jc w:val="center"/>
      </w:pPr>
      <w:r>
        <w:rPr>
          <w:rFonts w:ascii="Times New Roman" w:hAnsi="Times New Roman" w:eastAsia="黑体"/>
          <w:b/>
          <w:color w:val="000000"/>
          <w:sz w:val="21"/>
        </w:rPr>
        <w:t>表 8-1 每日新增确诊预测指标</w:t>
      </w:r>
    </w:p>
    <w:tbl>
      <w:tblPr>
        <w:tblStyle w:val="TableGrid"/>
        <w:tblW w:type="dxa" w:w="8300"/>
        <w:jc w:val="center"/>
        <w:tblLayout w:type="fixed"/>
        <w:tblLook w:firstColumn="1" w:firstRow="1" w:lastColumn="0" w:lastRow="0" w:noHBand="0" w:noVBand="1" w:val="04A0"/>
      </w:tblPr>
      <w:tblGrid>
        <w:gridCol w:w="3300"/>
        <w:gridCol w:w="1800"/>
        <w:gridCol w:w="1800"/>
        <w:gridCol w:w="1400"/>
      </w:tblGrid>
      <w:tr>
        <w:tc>
          <w:tcPr>
            <w:tcW w:type="dxa" w:w="3300"/>
            <w:shd w:fill="F2F2F2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模型</w:t>
            </w:r>
          </w:p>
        </w:tc>
        <w:tc>
          <w:tcPr>
            <w:tcW w:type="dxa" w:w="1800"/>
            <w:shd w:fill="F2F2F2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RMSE</w:t>
            </w:r>
          </w:p>
        </w:tc>
        <w:tc>
          <w:tcPr>
            <w:tcW w:type="dxa" w:w="1800"/>
            <w:shd w:fill="F2F2F2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MAE</w:t>
            </w:r>
          </w:p>
        </w:tc>
        <w:tc>
          <w:tcPr>
            <w:tcW w:type="dxa" w:w="1400"/>
            <w:shd w:fill="F2F2F2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R²</w:t>
            </w:r>
          </w:p>
        </w:tc>
      </w:tr>
      <w:tr>
        <w:tc>
          <w:tcPr>
            <w:tcW w:type="dxa" w:w="3300"/>
            <w:vAlign w:val="center"/>
          </w:tcPr>
          <w:p>
            <w:pPr>
              <w:spacing w:line="288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NaivePersistence</w:t>
            </w:r>
          </w:p>
        </w:tc>
        <w:tc>
          <w:tcPr>
            <w:tcW w:type="dxa" w:w="18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1,380.615</w:t>
            </w:r>
          </w:p>
        </w:tc>
        <w:tc>
          <w:tcPr>
            <w:tcW w:type="dxa" w:w="18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440.296</w:t>
            </w:r>
          </w:p>
        </w:tc>
        <w:tc>
          <w:tcPr>
            <w:tcW w:type="dxa" w:w="14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0.576</w:t>
            </w:r>
          </w:p>
        </w:tc>
      </w:tr>
      <w:tr>
        <w:tc>
          <w:tcPr>
            <w:tcW w:type="dxa" w:w="3300"/>
            <w:vAlign w:val="center"/>
          </w:tcPr>
          <w:p>
            <w:pPr>
              <w:spacing w:line="288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LinearRegression</w:t>
            </w:r>
          </w:p>
        </w:tc>
        <w:tc>
          <w:tcPr>
            <w:tcW w:type="dxa" w:w="18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1,584.703</w:t>
            </w:r>
          </w:p>
        </w:tc>
        <w:tc>
          <w:tcPr>
            <w:tcW w:type="dxa" w:w="18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675.978</w:t>
            </w:r>
          </w:p>
        </w:tc>
        <w:tc>
          <w:tcPr>
            <w:tcW w:type="dxa" w:w="14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0.442</w:t>
            </w:r>
          </w:p>
        </w:tc>
      </w:tr>
      <w:tr>
        <w:tc>
          <w:tcPr>
            <w:tcW w:type="dxa" w:w="3300"/>
            <w:vAlign w:val="center"/>
          </w:tcPr>
          <w:p>
            <w:pPr>
              <w:spacing w:line="288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RandomForest</w:t>
            </w:r>
          </w:p>
        </w:tc>
        <w:tc>
          <w:tcPr>
            <w:tcW w:type="dxa" w:w="18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1,671.589</w:t>
            </w:r>
          </w:p>
        </w:tc>
        <w:tc>
          <w:tcPr>
            <w:tcW w:type="dxa" w:w="18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752.872</w:t>
            </w:r>
          </w:p>
        </w:tc>
        <w:tc>
          <w:tcPr>
            <w:tcW w:type="dxa" w:w="14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0.379</w:t>
            </w:r>
          </w:p>
        </w:tc>
      </w:tr>
      <w:tr>
        <w:tc>
          <w:tcPr>
            <w:tcW w:type="dxa" w:w="3300"/>
            <w:vAlign w:val="center"/>
          </w:tcPr>
          <w:p>
            <w:pPr>
              <w:spacing w:line="288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GradientBoosting</w:t>
            </w:r>
          </w:p>
        </w:tc>
        <w:tc>
          <w:tcPr>
            <w:tcW w:type="dxa" w:w="18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1,891.984</w:t>
            </w:r>
          </w:p>
        </w:tc>
        <w:tc>
          <w:tcPr>
            <w:tcW w:type="dxa" w:w="18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794.834</w:t>
            </w:r>
          </w:p>
        </w:tc>
        <w:tc>
          <w:tcPr>
            <w:tcW w:type="dxa" w:w="14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0.205</w:t>
            </w:r>
          </w:p>
        </w:tc>
      </w:tr>
    </w:tbl>
    <w:p>
      <w:pPr>
        <w:spacing w:before="120" w:after="60"/>
        <w:ind w:firstLine="0"/>
        <w:jc w:val="center"/>
      </w:pPr>
      <w:r>
        <w:rPr>
          <w:rFonts w:ascii="Times New Roman" w:hAnsi="Times New Roman" w:eastAsia="黑体"/>
          <w:b/>
          <w:color w:val="000000"/>
          <w:sz w:val="21"/>
        </w:rPr>
        <w:t>表 8-2 每日新增死亡预测指标</w:t>
      </w:r>
    </w:p>
    <w:tbl>
      <w:tblPr>
        <w:tblStyle w:val="TableGrid"/>
        <w:tblW w:type="dxa" w:w="8300"/>
        <w:jc w:val="center"/>
        <w:tblLayout w:type="fixed"/>
        <w:tblLook w:firstColumn="1" w:firstRow="1" w:lastColumn="0" w:lastRow="0" w:noHBand="0" w:noVBand="1" w:val="04A0"/>
      </w:tblPr>
      <w:tblGrid>
        <w:gridCol w:w="3300"/>
        <w:gridCol w:w="1800"/>
        <w:gridCol w:w="1800"/>
        <w:gridCol w:w="1400"/>
      </w:tblGrid>
      <w:tr>
        <w:tc>
          <w:tcPr>
            <w:tcW w:type="dxa" w:w="3300"/>
            <w:shd w:fill="F2F2F2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模型</w:t>
            </w:r>
          </w:p>
        </w:tc>
        <w:tc>
          <w:tcPr>
            <w:tcW w:type="dxa" w:w="1800"/>
            <w:shd w:fill="F2F2F2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RMSE</w:t>
            </w:r>
          </w:p>
        </w:tc>
        <w:tc>
          <w:tcPr>
            <w:tcW w:type="dxa" w:w="1800"/>
            <w:shd w:fill="F2F2F2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MAE</w:t>
            </w:r>
          </w:p>
        </w:tc>
        <w:tc>
          <w:tcPr>
            <w:tcW w:type="dxa" w:w="1400"/>
            <w:shd w:fill="F2F2F2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R²</w:t>
            </w:r>
          </w:p>
        </w:tc>
      </w:tr>
      <w:tr>
        <w:tc>
          <w:tcPr>
            <w:tcW w:type="dxa" w:w="3300"/>
            <w:vAlign w:val="center"/>
          </w:tcPr>
          <w:p>
            <w:pPr>
              <w:spacing w:line="288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NaivePersistence</w:t>
            </w:r>
          </w:p>
        </w:tc>
        <w:tc>
          <w:tcPr>
            <w:tcW w:type="dxa" w:w="18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0.898</w:t>
            </w:r>
          </w:p>
        </w:tc>
        <w:tc>
          <w:tcPr>
            <w:tcW w:type="dxa" w:w="18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0.224</w:t>
            </w:r>
          </w:p>
        </w:tc>
        <w:tc>
          <w:tcPr>
            <w:tcW w:type="dxa" w:w="14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-0.191</w:t>
            </w:r>
          </w:p>
        </w:tc>
      </w:tr>
      <w:tr>
        <w:tc>
          <w:tcPr>
            <w:tcW w:type="dxa" w:w="3300"/>
            <w:vAlign w:val="center"/>
          </w:tcPr>
          <w:p>
            <w:pPr>
              <w:spacing w:line="288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LinearRegression</w:t>
            </w:r>
          </w:p>
        </w:tc>
        <w:tc>
          <w:tcPr>
            <w:tcW w:type="dxa" w:w="18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1.637</w:t>
            </w:r>
          </w:p>
        </w:tc>
        <w:tc>
          <w:tcPr>
            <w:tcW w:type="dxa" w:w="18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0.631</w:t>
            </w:r>
          </w:p>
        </w:tc>
        <w:tc>
          <w:tcPr>
            <w:tcW w:type="dxa" w:w="14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-2.955</w:t>
            </w:r>
          </w:p>
        </w:tc>
      </w:tr>
      <w:tr>
        <w:tc>
          <w:tcPr>
            <w:tcW w:type="dxa" w:w="3300"/>
            <w:vAlign w:val="center"/>
          </w:tcPr>
          <w:p>
            <w:pPr>
              <w:spacing w:line="288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RandomForest</w:t>
            </w:r>
          </w:p>
        </w:tc>
        <w:tc>
          <w:tcPr>
            <w:tcW w:type="dxa" w:w="18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23.407</w:t>
            </w:r>
          </w:p>
        </w:tc>
        <w:tc>
          <w:tcPr>
            <w:tcW w:type="dxa" w:w="18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5.992</w:t>
            </w:r>
          </w:p>
        </w:tc>
        <w:tc>
          <w:tcPr>
            <w:tcW w:type="dxa" w:w="14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-807.637</w:t>
            </w:r>
          </w:p>
        </w:tc>
      </w:tr>
      <w:tr>
        <w:tc>
          <w:tcPr>
            <w:tcW w:type="dxa" w:w="3300"/>
            <w:vAlign w:val="center"/>
          </w:tcPr>
          <w:p>
            <w:pPr>
              <w:spacing w:line="288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GradientBoosting</w:t>
            </w:r>
          </w:p>
        </w:tc>
        <w:tc>
          <w:tcPr>
            <w:tcW w:type="dxa" w:w="18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0.850</w:t>
            </w:r>
          </w:p>
        </w:tc>
        <w:tc>
          <w:tcPr>
            <w:tcW w:type="dxa" w:w="18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0.211</w:t>
            </w:r>
          </w:p>
        </w:tc>
        <w:tc>
          <w:tcPr>
            <w:tcW w:type="dxa" w:w="14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-0.066</w:t>
            </w:r>
          </w:p>
        </w:tc>
      </w:tr>
    </w:tbl>
    <w:p>
      <w:pPr>
        <w:spacing w:before="120" w:after="60"/>
        <w:ind w:firstLine="0"/>
        <w:jc w:val="center"/>
      </w:pPr>
      <w:r>
        <w:rPr>
          <w:rFonts w:ascii="Times New Roman" w:hAnsi="Times New Roman" w:eastAsia="黑体"/>
          <w:b/>
          <w:color w:val="000000"/>
          <w:sz w:val="21"/>
        </w:rPr>
        <w:t>表 8-3 每日新增治愈预测指标</w:t>
      </w:r>
    </w:p>
    <w:tbl>
      <w:tblPr>
        <w:tblStyle w:val="TableGrid"/>
        <w:tblW w:type="dxa" w:w="8300"/>
        <w:jc w:val="center"/>
        <w:tblLayout w:type="fixed"/>
        <w:tblLook w:firstColumn="1" w:firstRow="1" w:lastColumn="0" w:lastRow="0" w:noHBand="0" w:noVBand="1" w:val="04A0"/>
      </w:tblPr>
      <w:tblGrid>
        <w:gridCol w:w="3300"/>
        <w:gridCol w:w="1800"/>
        <w:gridCol w:w="1800"/>
        <w:gridCol w:w="1400"/>
      </w:tblGrid>
      <w:tr>
        <w:tc>
          <w:tcPr>
            <w:tcW w:type="dxa" w:w="3300"/>
            <w:shd w:fill="F2F2F2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模型</w:t>
            </w:r>
          </w:p>
        </w:tc>
        <w:tc>
          <w:tcPr>
            <w:tcW w:type="dxa" w:w="1800"/>
            <w:shd w:fill="F2F2F2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RMSE</w:t>
            </w:r>
          </w:p>
        </w:tc>
        <w:tc>
          <w:tcPr>
            <w:tcW w:type="dxa" w:w="1800"/>
            <w:shd w:fill="F2F2F2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MAE</w:t>
            </w:r>
          </w:p>
        </w:tc>
        <w:tc>
          <w:tcPr>
            <w:tcW w:type="dxa" w:w="1400"/>
            <w:shd w:fill="F2F2F2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R²</w:t>
            </w:r>
          </w:p>
        </w:tc>
      </w:tr>
      <w:tr>
        <w:tc>
          <w:tcPr>
            <w:tcW w:type="dxa" w:w="3300"/>
            <w:vAlign w:val="center"/>
          </w:tcPr>
          <w:p>
            <w:pPr>
              <w:spacing w:line="288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NaivePersistence</w:t>
            </w:r>
          </w:p>
        </w:tc>
        <w:tc>
          <w:tcPr>
            <w:tcW w:type="dxa" w:w="18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13.695</w:t>
            </w:r>
          </w:p>
        </w:tc>
        <w:tc>
          <w:tcPr>
            <w:tcW w:type="dxa" w:w="18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8.766</w:t>
            </w:r>
          </w:p>
        </w:tc>
        <w:tc>
          <w:tcPr>
            <w:tcW w:type="dxa" w:w="14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-0.966</w:t>
            </w:r>
          </w:p>
        </w:tc>
      </w:tr>
      <w:tr>
        <w:tc>
          <w:tcPr>
            <w:tcW w:type="dxa" w:w="3300"/>
            <w:vAlign w:val="center"/>
          </w:tcPr>
          <w:p>
            <w:pPr>
              <w:spacing w:line="288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LinearRegression</w:t>
            </w:r>
          </w:p>
        </w:tc>
        <w:tc>
          <w:tcPr>
            <w:tcW w:type="dxa" w:w="18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22.222</w:t>
            </w:r>
          </w:p>
        </w:tc>
        <w:tc>
          <w:tcPr>
            <w:tcW w:type="dxa" w:w="18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18.226</w:t>
            </w:r>
          </w:p>
        </w:tc>
        <w:tc>
          <w:tcPr>
            <w:tcW w:type="dxa" w:w="14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-4.177</w:t>
            </w:r>
          </w:p>
        </w:tc>
      </w:tr>
      <w:tr>
        <w:tc>
          <w:tcPr>
            <w:tcW w:type="dxa" w:w="3300"/>
            <w:vAlign w:val="center"/>
          </w:tcPr>
          <w:p>
            <w:pPr>
              <w:spacing w:line="288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RandomForest</w:t>
            </w:r>
          </w:p>
        </w:tc>
        <w:tc>
          <w:tcPr>
            <w:tcW w:type="dxa" w:w="18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10.148</w:t>
            </w:r>
          </w:p>
        </w:tc>
        <w:tc>
          <w:tcPr>
            <w:tcW w:type="dxa" w:w="18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6.996</w:t>
            </w:r>
          </w:p>
        </w:tc>
        <w:tc>
          <w:tcPr>
            <w:tcW w:type="dxa" w:w="14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-0.079</w:t>
            </w:r>
          </w:p>
        </w:tc>
      </w:tr>
      <w:tr>
        <w:tc>
          <w:tcPr>
            <w:tcW w:type="dxa" w:w="3300"/>
            <w:vAlign w:val="center"/>
          </w:tcPr>
          <w:p>
            <w:pPr>
              <w:spacing w:line="288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GradientBoosting</w:t>
            </w:r>
          </w:p>
        </w:tc>
        <w:tc>
          <w:tcPr>
            <w:tcW w:type="dxa" w:w="18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9.817</w:t>
            </w:r>
          </w:p>
        </w:tc>
        <w:tc>
          <w:tcPr>
            <w:tcW w:type="dxa" w:w="18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6.359</w:t>
            </w:r>
          </w:p>
        </w:tc>
        <w:tc>
          <w:tcPr>
            <w:tcW w:type="dxa" w:w="14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-0.010</w:t>
            </w:r>
          </w:p>
        </w:tc>
      </w:tr>
    </w:tbl>
    <w:p>
      <w:pPr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28000" cy="152228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ina_mainland_ml_metrics_comparis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1522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/>
        <w:ind w:firstLine="0"/>
        <w:jc w:val="center"/>
      </w:pPr>
      <w:r>
        <w:rPr>
          <w:rFonts w:ascii="Times New Roman" w:hAnsi="Times New Roman" w:eastAsia="黑体"/>
          <w:b/>
          <w:color w:val="000000"/>
          <w:sz w:val="21"/>
        </w:rPr>
        <w:t>图 10 机器学习模型 RMSE、MAE、R² 对比（R² 小于 -5 的柱在图中截断显示，完整数值见表 8-1 至表 8-3）</w:t>
      </w:r>
    </w:p>
    <w:p>
      <w:pPr>
        <w:pStyle w:val="BodyText"/>
        <w:jc w:val="left"/>
      </w:pPr>
      <w:r>
        <w:rPr>
          <w:rFonts w:ascii="Times New Roman" w:hAnsi="Times New Roman" w:eastAsia="宋体"/>
          <w:color w:val="000000"/>
          <w:sz w:val="24"/>
        </w:rPr>
        <w:t>从指标看，confirmed 往往比 deaths 和 recovered 更适合做短期预测，因为确诊序列规模较大、可学习模式更多。deaths 单日数值较低时，少量波动就会造成较大的相对误差；recovered 还受到 2021-08-04 后停止可靠更新的影响，因此其 R² 可能为负。负 R² 并非程序错误，而是提示模型在该任务上不如简单均值基线。</w:t>
      </w:r>
    </w:p>
    <w:p>
      <w:pPr>
        <w:pStyle w:val="Heading1"/>
      </w:pPr>
      <w:r/>
      <w:bookmarkStart w:id="10" w:name="bm_085ec5c2bafaddad"/>
      <w:r>
        <w:rPr>
          <w:rFonts w:ascii="Times New Roman" w:hAnsi="Times New Roman" w:eastAsia="黑体"/>
          <w:b/>
          <w:color w:val="000000"/>
          <w:sz w:val="32"/>
        </w:rPr>
        <w:t>八、同窗口舱室变量对比实验</w:t>
      </w:r>
      <w:bookmarkEnd w:id="10"/>
    </w:p>
    <w:p>
      <w:pPr>
        <w:pStyle w:val="BodyText"/>
        <w:jc w:val="left"/>
      </w:pPr>
      <w:r>
        <w:rPr>
          <w:rFonts w:ascii="Times New Roman" w:hAnsi="Times New Roman" w:eastAsia="宋体"/>
          <w:color w:val="000000"/>
          <w:sz w:val="24"/>
        </w:rPr>
        <w:t>为避免传统模型和机器学习模型比较对象不一致，本文补充同窗口舱室变量实验：将机器学习模型应用于 SIR 相同窗口内的 infected、removed 和 confirmed 三个变量。该实验仍按时间顺序划分训练集和测试集，用于观察机器学习模型在舱室变量上的外推能力。</w:t>
      </w:r>
    </w:p>
    <w:p>
      <w:pPr>
        <w:pStyle w:val="BodyText"/>
        <w:jc w:val="left"/>
      </w:pPr>
      <w:r>
        <w:rPr>
          <w:rFonts w:ascii="Times New Roman" w:hAnsi="Times New Roman" w:eastAsia="宋体"/>
          <w:color w:val="000000"/>
          <w:sz w:val="24"/>
        </w:rPr>
        <w:t>结果中若 GradientBoosting 的 R² 为负，说明树模型在短窗口后段没有超过均值基线。这通常与样本窗口较短、舱室变量存在明显单调趋势、测试期分布偏离训练期有关。SIR 模型虽然假设较强，但舱室结构本身提供了机制约束；机器学习模型若缺少政策、人口流动、检测量等外生变量，容易在这类外推任务中表现不稳定。</w:t>
      </w:r>
    </w:p>
    <w:p>
      <w:pPr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497454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ina_mainland_compartment_ml_test_predicti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974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/>
        <w:ind w:firstLine="0"/>
        <w:jc w:val="center"/>
      </w:pPr>
      <w:r>
        <w:rPr>
          <w:rFonts w:ascii="Times New Roman" w:hAnsi="Times New Roman" w:eastAsia="黑体"/>
          <w:b/>
          <w:color w:val="000000"/>
          <w:sz w:val="21"/>
        </w:rPr>
        <w:t>图 11 舱室变量同窗口机器学习测试集预测</w:t>
      </w:r>
    </w:p>
    <w:p>
      <w:pPr>
        <w:spacing w:before="120" w:after="60"/>
        <w:ind w:firstLine="0"/>
        <w:jc w:val="center"/>
      </w:pPr>
      <w:r>
        <w:rPr>
          <w:rFonts w:ascii="Times New Roman" w:hAnsi="Times New Roman" w:eastAsia="黑体"/>
          <w:b/>
          <w:color w:val="000000"/>
          <w:sz w:val="21"/>
        </w:rPr>
        <w:t>表 9 同窗口舱室变量机器学习指标</w:t>
      </w:r>
    </w:p>
    <w:tbl>
      <w:tblPr>
        <w:tblStyle w:val="TableGrid"/>
        <w:tblW w:type="dxa" w:w="8000"/>
        <w:jc w:val="center"/>
        <w:tblLayout w:type="fixed"/>
        <w:tblLook w:firstColumn="1" w:firstRow="1" w:lastColumn="0" w:lastRow="0" w:noHBand="0" w:noVBand="1" w:val="04A0"/>
      </w:tblPr>
      <w:tblGrid>
        <w:gridCol w:w="1000"/>
        <w:gridCol w:w="1700"/>
        <w:gridCol w:w="800"/>
        <w:gridCol w:w="800"/>
        <w:gridCol w:w="1400"/>
        <w:gridCol w:w="1400"/>
        <w:gridCol w:w="900"/>
      </w:tblGrid>
      <w:tr>
        <w:tc>
          <w:tcPr>
            <w:tcW w:type="dxa" w:w="1000"/>
            <w:shd w:fill="F2F2F2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目标</w:t>
            </w:r>
          </w:p>
        </w:tc>
        <w:tc>
          <w:tcPr>
            <w:tcW w:type="dxa" w:w="1700"/>
            <w:shd w:fill="F2F2F2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模型</w:t>
            </w:r>
          </w:p>
        </w:tc>
        <w:tc>
          <w:tcPr>
            <w:tcW w:type="dxa" w:w="800"/>
            <w:shd w:fill="F2F2F2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训练行</w:t>
            </w:r>
          </w:p>
        </w:tc>
        <w:tc>
          <w:tcPr>
            <w:tcW w:type="dxa" w:w="800"/>
            <w:shd w:fill="F2F2F2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测试行</w:t>
            </w:r>
          </w:p>
        </w:tc>
        <w:tc>
          <w:tcPr>
            <w:tcW w:type="dxa" w:w="1400"/>
            <w:shd w:fill="F2F2F2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RMSE</w:t>
            </w:r>
          </w:p>
        </w:tc>
        <w:tc>
          <w:tcPr>
            <w:tcW w:type="dxa" w:w="1400"/>
            <w:shd w:fill="F2F2F2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MAE</w:t>
            </w:r>
          </w:p>
        </w:tc>
        <w:tc>
          <w:tcPr>
            <w:tcW w:type="dxa" w:w="900"/>
            <w:shd w:fill="F2F2F2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R²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line="288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infected</w:t>
            </w:r>
          </w:p>
        </w:tc>
        <w:tc>
          <w:tcPr>
            <w:tcW w:type="dxa" w:w="1700"/>
            <w:vAlign w:val="center"/>
          </w:tcPr>
          <w:p>
            <w:pPr>
              <w:spacing w:line="288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GradientBoosting</w:t>
            </w:r>
          </w:p>
        </w:tc>
        <w:tc>
          <w:tcPr>
            <w:tcW w:type="dxa" w:w="8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121</w:t>
            </w:r>
          </w:p>
        </w:tc>
        <w:tc>
          <w:tcPr>
            <w:tcW w:type="dxa" w:w="8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31</w:t>
            </w:r>
          </w:p>
        </w:tc>
        <w:tc>
          <w:tcPr>
            <w:tcW w:type="dxa" w:w="14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111.962</w:t>
            </w:r>
          </w:p>
        </w:tc>
        <w:tc>
          <w:tcPr>
            <w:tcW w:type="dxa" w:w="14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101.844</w:t>
            </w:r>
          </w:p>
        </w:tc>
        <w:tc>
          <w:tcPr>
            <w:tcW w:type="dxa" w:w="9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-2.783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line="288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removed</w:t>
            </w:r>
          </w:p>
        </w:tc>
        <w:tc>
          <w:tcPr>
            <w:tcW w:type="dxa" w:w="1700"/>
            <w:vAlign w:val="center"/>
          </w:tcPr>
          <w:p>
            <w:pPr>
              <w:spacing w:line="288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GradientBoosting</w:t>
            </w:r>
          </w:p>
        </w:tc>
        <w:tc>
          <w:tcPr>
            <w:tcW w:type="dxa" w:w="8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121</w:t>
            </w:r>
          </w:p>
        </w:tc>
        <w:tc>
          <w:tcPr>
            <w:tcW w:type="dxa" w:w="8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31</w:t>
            </w:r>
          </w:p>
        </w:tc>
        <w:tc>
          <w:tcPr>
            <w:tcW w:type="dxa" w:w="14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215.993</w:t>
            </w:r>
          </w:p>
        </w:tc>
        <w:tc>
          <w:tcPr>
            <w:tcW w:type="dxa" w:w="14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178.433</w:t>
            </w:r>
          </w:p>
        </w:tc>
        <w:tc>
          <w:tcPr>
            <w:tcW w:type="dxa" w:w="9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-2.300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line="288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confirmed</w:t>
            </w:r>
          </w:p>
        </w:tc>
        <w:tc>
          <w:tcPr>
            <w:tcW w:type="dxa" w:w="1700"/>
            <w:vAlign w:val="center"/>
          </w:tcPr>
          <w:p>
            <w:pPr>
              <w:spacing w:line="288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GradientBoosting</w:t>
            </w:r>
          </w:p>
        </w:tc>
        <w:tc>
          <w:tcPr>
            <w:tcW w:type="dxa" w:w="8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121</w:t>
            </w:r>
          </w:p>
        </w:tc>
        <w:tc>
          <w:tcPr>
            <w:tcW w:type="dxa" w:w="8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31</w:t>
            </w:r>
          </w:p>
        </w:tc>
        <w:tc>
          <w:tcPr>
            <w:tcW w:type="dxa" w:w="14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288.929</w:t>
            </w:r>
          </w:p>
        </w:tc>
        <w:tc>
          <w:tcPr>
            <w:tcW w:type="dxa" w:w="14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276.260</w:t>
            </w:r>
          </w:p>
        </w:tc>
        <w:tc>
          <w:tcPr>
            <w:tcW w:type="dxa" w:w="9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-10.833</w:t>
            </w:r>
          </w:p>
        </w:tc>
      </w:tr>
    </w:tbl>
    <w:p>
      <w:pPr>
        <w:pStyle w:val="Heading1"/>
      </w:pPr>
      <w:r/>
      <w:bookmarkStart w:id="11" w:name="bm_cd7c675f2557e4a4"/>
      <w:r>
        <w:rPr>
          <w:rFonts w:ascii="Times New Roman" w:hAnsi="Times New Roman" w:eastAsia="黑体"/>
          <w:b/>
          <w:color w:val="000000"/>
          <w:sz w:val="32"/>
        </w:rPr>
        <w:t>九、未来 7 天和 14 天预测</w:t>
      </w:r>
      <w:bookmarkEnd w:id="11"/>
    </w:p>
    <w:p>
      <w:pPr>
        <w:pStyle w:val="BodyText"/>
        <w:jc w:val="left"/>
      </w:pPr>
      <w:r>
        <w:rPr>
          <w:rFonts w:ascii="Times New Roman" w:hAnsi="Times New Roman" w:eastAsia="宋体"/>
          <w:color w:val="000000"/>
          <w:sz w:val="24"/>
        </w:rPr>
        <w:t>未来预测以 confirmed 为正文重点，deaths 简要展示，recovered 不放入正文长表。原因是 recovered 的可靠更新时间截止于 2021-08-04，若继续外推，只能解释为可靠区间结束后的短期外推，不代表 2023 年真实治愈趋势。</w:t>
      </w:r>
    </w:p>
    <w:p>
      <w:pPr>
        <w:pStyle w:val="BodyText"/>
        <w:jc w:val="left"/>
      </w:pPr>
      <w:r>
        <w:rPr>
          <w:rFonts w:ascii="Times New Roman" w:hAnsi="Times New Roman" w:eastAsia="宋体"/>
          <w:color w:val="000000"/>
          <w:sz w:val="24"/>
        </w:rPr>
        <w:t>需要说明的是，GradientBoosting 不是 confirmed 测试集上的最优模型，表 8-1 显示 NaivePersistence 的 RMSE 最低。正文展示 GradientBoosting 的未来预测，是为了观察非平凡模型在滞后特征和滚动特征下给出的趋势变化；最终最优误差模型仍以表 8-1 至表 8-3 为准。</w:t>
      </w:r>
    </w:p>
    <w:p>
      <w:pPr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2736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ina_mainland_confirmed_ml_future_7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/>
        <w:ind w:firstLine="0"/>
        <w:jc w:val="center"/>
      </w:pPr>
      <w:r>
        <w:rPr>
          <w:rFonts w:ascii="Times New Roman" w:hAnsi="Times New Roman" w:eastAsia="黑体"/>
          <w:b/>
          <w:color w:val="000000"/>
          <w:sz w:val="21"/>
        </w:rPr>
        <w:t>图 12 每日新增确诊未来 7 天预测</w:t>
      </w:r>
    </w:p>
    <w:p>
      <w:pPr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2736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ina_mainland_confirmed_ml_future_14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/>
        <w:ind w:firstLine="0"/>
        <w:jc w:val="center"/>
      </w:pPr>
      <w:r>
        <w:rPr>
          <w:rFonts w:ascii="Times New Roman" w:hAnsi="Times New Roman" w:eastAsia="黑体"/>
          <w:b/>
          <w:color w:val="000000"/>
          <w:sz w:val="21"/>
        </w:rPr>
        <w:t>图 13 每日新增确诊未来 14 天预测</w:t>
      </w:r>
    </w:p>
    <w:p>
      <w:pPr>
        <w:pStyle w:val="BodyText"/>
        <w:jc w:val="left"/>
      </w:pPr>
      <w:r>
        <w:rPr>
          <w:rFonts w:ascii="Times New Roman" w:hAnsi="Times New Roman" w:eastAsia="宋体"/>
          <w:color w:val="000000"/>
          <w:sz w:val="24"/>
        </w:rPr>
        <w:t>每日新增死亡的 7 天预测值均接近 0，完整结果保存在 outputs/predictions 中。</w:t>
      </w:r>
    </w:p>
    <w:p>
      <w:pPr>
        <w:spacing w:before="120" w:after="60"/>
        <w:ind w:firstLine="0"/>
        <w:jc w:val="center"/>
      </w:pPr>
      <w:r>
        <w:rPr>
          <w:rFonts w:ascii="Times New Roman" w:hAnsi="Times New Roman" w:eastAsia="黑体"/>
          <w:b/>
          <w:color w:val="000000"/>
          <w:sz w:val="21"/>
        </w:rPr>
        <w:t>表 10 GradientBoosting 每日新增确诊未来 14 天预测</w:t>
      </w:r>
    </w:p>
    <w:tbl>
      <w:tblPr>
        <w:tblStyle w:val="TableGrid"/>
        <w:tblW w:type="dxa" w:w="6600"/>
        <w:jc w:val="center"/>
        <w:tblLayout w:type="fixed"/>
        <w:tblLook w:firstColumn="1" w:firstRow="1" w:lastColumn="0" w:lastRow="0" w:noHBand="0" w:noVBand="1" w:val="04A0"/>
      </w:tblPr>
      <w:tblGrid>
        <w:gridCol w:w="2400"/>
        <w:gridCol w:w="1800"/>
        <w:gridCol w:w="2400"/>
      </w:tblGrid>
      <w:tr>
        <w:tc>
          <w:tcPr>
            <w:tcW w:type="dxa" w:w="2400"/>
            <w:shd w:fill="F2F2F2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日期</w:t>
            </w:r>
          </w:p>
        </w:tc>
        <w:tc>
          <w:tcPr>
            <w:tcW w:type="dxa" w:w="1800"/>
            <w:shd w:fill="F2F2F2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预测天数</w:t>
            </w:r>
          </w:p>
        </w:tc>
        <w:tc>
          <w:tcPr>
            <w:tcW w:type="dxa" w:w="2400"/>
            <w:shd w:fill="F2F2F2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预测值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2023-03-10</w:t>
            </w:r>
          </w:p>
        </w:tc>
        <w:tc>
          <w:tcPr>
            <w:tcW w:type="dxa" w:w="18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</w:t>
            </w:r>
          </w:p>
        </w:tc>
        <w:tc>
          <w:tcPr>
            <w:tcW w:type="dxa" w:w="24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25.94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2023-03-11</w:t>
            </w:r>
          </w:p>
        </w:tc>
        <w:tc>
          <w:tcPr>
            <w:tcW w:type="dxa" w:w="18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</w:t>
            </w:r>
          </w:p>
        </w:tc>
        <w:tc>
          <w:tcPr>
            <w:tcW w:type="dxa" w:w="24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31.28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2023-03-12</w:t>
            </w:r>
          </w:p>
        </w:tc>
        <w:tc>
          <w:tcPr>
            <w:tcW w:type="dxa" w:w="18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</w:t>
            </w:r>
          </w:p>
        </w:tc>
        <w:tc>
          <w:tcPr>
            <w:tcW w:type="dxa" w:w="24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37.78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2023-03-13</w:t>
            </w:r>
          </w:p>
        </w:tc>
        <w:tc>
          <w:tcPr>
            <w:tcW w:type="dxa" w:w="18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</w:t>
            </w:r>
          </w:p>
        </w:tc>
        <w:tc>
          <w:tcPr>
            <w:tcW w:type="dxa" w:w="24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51.79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2023-03-14</w:t>
            </w:r>
          </w:p>
        </w:tc>
        <w:tc>
          <w:tcPr>
            <w:tcW w:type="dxa" w:w="18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</w:t>
            </w:r>
          </w:p>
        </w:tc>
        <w:tc>
          <w:tcPr>
            <w:tcW w:type="dxa" w:w="24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55.75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2023-03-15</w:t>
            </w:r>
          </w:p>
        </w:tc>
        <w:tc>
          <w:tcPr>
            <w:tcW w:type="dxa" w:w="18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6</w:t>
            </w:r>
          </w:p>
        </w:tc>
        <w:tc>
          <w:tcPr>
            <w:tcW w:type="dxa" w:w="24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62.00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2023-03-16</w:t>
            </w:r>
          </w:p>
        </w:tc>
        <w:tc>
          <w:tcPr>
            <w:tcW w:type="dxa" w:w="18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7</w:t>
            </w:r>
          </w:p>
        </w:tc>
        <w:tc>
          <w:tcPr>
            <w:tcW w:type="dxa" w:w="24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73.75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2023-03-17</w:t>
            </w:r>
          </w:p>
        </w:tc>
        <w:tc>
          <w:tcPr>
            <w:tcW w:type="dxa" w:w="18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8</w:t>
            </w:r>
          </w:p>
        </w:tc>
        <w:tc>
          <w:tcPr>
            <w:tcW w:type="dxa" w:w="24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78.56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2023-03-18</w:t>
            </w:r>
          </w:p>
        </w:tc>
        <w:tc>
          <w:tcPr>
            <w:tcW w:type="dxa" w:w="18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9</w:t>
            </w:r>
          </w:p>
        </w:tc>
        <w:tc>
          <w:tcPr>
            <w:tcW w:type="dxa" w:w="24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83.05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2023-03-19</w:t>
            </w:r>
          </w:p>
        </w:tc>
        <w:tc>
          <w:tcPr>
            <w:tcW w:type="dxa" w:w="18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10</w:t>
            </w:r>
          </w:p>
        </w:tc>
        <w:tc>
          <w:tcPr>
            <w:tcW w:type="dxa" w:w="24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80.32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2023-03-20</w:t>
            </w:r>
          </w:p>
        </w:tc>
        <w:tc>
          <w:tcPr>
            <w:tcW w:type="dxa" w:w="18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11</w:t>
            </w:r>
          </w:p>
        </w:tc>
        <w:tc>
          <w:tcPr>
            <w:tcW w:type="dxa" w:w="24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80.89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2023-03-21</w:t>
            </w:r>
          </w:p>
        </w:tc>
        <w:tc>
          <w:tcPr>
            <w:tcW w:type="dxa" w:w="18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12</w:t>
            </w:r>
          </w:p>
        </w:tc>
        <w:tc>
          <w:tcPr>
            <w:tcW w:type="dxa" w:w="24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79.48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2023-03-22</w:t>
            </w:r>
          </w:p>
        </w:tc>
        <w:tc>
          <w:tcPr>
            <w:tcW w:type="dxa" w:w="18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</w:t>
            </w:r>
          </w:p>
        </w:tc>
        <w:tc>
          <w:tcPr>
            <w:tcW w:type="dxa" w:w="24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77.68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2023-03-23</w:t>
            </w:r>
          </w:p>
        </w:tc>
        <w:tc>
          <w:tcPr>
            <w:tcW w:type="dxa" w:w="18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14</w:t>
            </w:r>
          </w:p>
        </w:tc>
        <w:tc>
          <w:tcPr>
            <w:tcW w:type="dxa" w:w="2400"/>
            <w:vAlign w:val="center"/>
          </w:tcPr>
          <w:p>
            <w:pPr>
              <w:spacing w:line="288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77.48</w:t>
            </w:r>
          </w:p>
        </w:tc>
      </w:tr>
    </w:tbl>
    <w:p>
      <w:pPr>
        <w:pStyle w:val="Heading1"/>
      </w:pPr>
      <w:r/>
      <w:bookmarkStart w:id="12" w:name="bm_3911d97c9bce7cb1"/>
      <w:r>
        <w:rPr>
          <w:rFonts w:ascii="Times New Roman" w:hAnsi="Times New Roman" w:eastAsia="黑体"/>
          <w:b/>
          <w:color w:val="000000"/>
          <w:sz w:val="32"/>
        </w:rPr>
        <w:t>十、模型对比分析</w:t>
      </w:r>
      <w:bookmarkEnd w:id="12"/>
    </w:p>
    <w:p>
      <w:pPr>
        <w:pStyle w:val="BodyText"/>
        <w:jc w:val="left"/>
      </w:pPr>
      <w:r>
        <w:rPr>
          <w:rFonts w:ascii="Times New Roman" w:hAnsi="Times New Roman" w:eastAsia="宋体"/>
          <w:color w:val="000000"/>
          <w:sz w:val="24"/>
        </w:rPr>
        <w:t>SIR 模型和机器学习模型回答的问题不同。固定参数 SIR 和时变参数 SIR 适合解释感染者、移除者和累计确诊之间的结构关系，能够把接触率、移除率和传播强度联系起来；机器学习模型更适合在近期历史模式延续的前提下预测每日新增。</w:t>
      </w:r>
    </w:p>
    <w:p>
      <w:pPr>
        <w:pStyle w:val="BodyText"/>
        <w:jc w:val="left"/>
      </w:pPr>
      <w:r>
        <w:rPr>
          <w:rFonts w:ascii="Times New Roman" w:hAnsi="Times New Roman" w:eastAsia="宋体"/>
          <w:color w:val="000000"/>
          <w:sz w:val="24"/>
        </w:rPr>
        <w:t>从模型对比角度看，NaivePersistence 是最低基线。如果 LinearRegression、RandomForest 或 GradientBoosting 没有明显优于 Naive，说明复杂模型虽然参数更多，但未必能在当前测试窗口带来稳定收益。GradientBoosting 在 confirmed 上通常具备较强短期拟合能力，但在 deaths 和 recovered 上可能因为低计数波动、统计稀疏、停止更新或分布漂移而得到负 R²。</w:t>
      </w:r>
    </w:p>
    <w:p>
      <w:pPr>
        <w:pStyle w:val="BodyText"/>
        <w:jc w:val="left"/>
      </w:pPr>
      <w:r>
        <w:rPr>
          <w:rFonts w:ascii="Times New Roman" w:hAnsi="Times New Roman" w:eastAsia="宋体"/>
          <w:color w:val="000000"/>
          <w:sz w:val="24"/>
        </w:rPr>
        <w:t>TimeVaryingSIR 的高 R² 不应与测试集预测模型并列解读。它使用历史信息反推 β(t) 和 γ(t)，本质上更接近历史重构；而机器学习指标来自时间顺序测试集，目标是检验未参与训练时期的预测效果。区分描述性拟合与预测性评估，是本次结果解释中最重要的修正。</w:t>
      </w:r>
    </w:p>
    <w:p>
      <w:pPr>
        <w:pStyle w:val="Heading1"/>
      </w:pPr>
      <w:r/>
      <w:bookmarkStart w:id="13" w:name="bm_0698dd7e560c4b96"/>
      <w:r>
        <w:rPr>
          <w:rFonts w:ascii="Times New Roman" w:hAnsi="Times New Roman" w:eastAsia="黑体"/>
          <w:b/>
          <w:color w:val="000000"/>
          <w:sz w:val="32"/>
        </w:rPr>
        <w:t>十一、结论与不足</w:t>
      </w:r>
      <w:bookmarkEnd w:id="13"/>
    </w:p>
    <w:p>
      <w:pPr>
        <w:pStyle w:val="BodyText"/>
        <w:jc w:val="left"/>
      </w:pPr>
      <w:r>
        <w:rPr>
          <w:rFonts w:ascii="Times New Roman" w:hAnsi="Times New Roman" w:eastAsia="宋体"/>
          <w:color w:val="000000"/>
          <w:sz w:val="24"/>
        </w:rPr>
        <w:t>本研究完成了一个可运行、可复现的疫情传播建模流程：读取 JHU 真实数据，按中国大陆口径进行预处理，生成每日新增和区域趋势图，拟合固定参数 SIR 与时变参数 SIR，训练多个机器学习模型，并输出测试集指标、未来 7 天和 14 天预测、CSV 结果和 Word 论文。</w:t>
      </w:r>
    </w:p>
    <w:p>
      <w:pPr>
        <w:pStyle w:val="BodyText"/>
        <w:jc w:val="left"/>
      </w:pPr>
      <w:r>
        <w:rPr>
          <w:rFonts w:ascii="Times New Roman" w:hAnsi="Times New Roman" w:eastAsia="宋体"/>
          <w:color w:val="000000"/>
          <w:sz w:val="24"/>
        </w:rPr>
        <w:t>不足主要包括四点：第一，JHU 数据存在历史修正、集中补报和 recovered 后期停止可靠更新问题；第二，模型未引入政策强度、检测量、人口流动和疫苗接种等外生变量；第三，未来预测采用递推策略，预测期越长误差累积风险越高；第四，省份 Top 10 只比较原始规模，没有进行人口标准化，不能直接解释为风险率。</w:t>
      </w:r>
    </w:p>
    <w:p>
      <w:pPr>
        <w:pStyle w:val="BodyText"/>
        <w:jc w:val="left"/>
      </w:pPr>
      <w:r>
        <w:rPr>
          <w:rFonts w:ascii="Times New Roman" w:hAnsi="Times New Roman" w:eastAsia="宋体"/>
          <w:color w:val="000000"/>
          <w:sz w:val="24"/>
        </w:rPr>
        <w:t>后续若继续改进，可在保持传统模型可解释性的基础上加入 SEIR 或 SEIQR 扩展模型，并引入更多外生变量；机器学习部分可继续比较 XGBoost、LSTM 或 GRU，但仍应保留 Naive 与线性模型作为判断复杂模型是否真正有效的参照。</w:t>
      </w:r>
    </w:p>
    <w:p>
      <w:pPr>
        <w:pStyle w:val="Heading1"/>
      </w:pPr>
      <w:r/>
      <w:bookmarkStart w:id="14" w:name="bm_fb507f2cb9ee9105"/>
      <w:r>
        <w:rPr>
          <w:rFonts w:ascii="Times New Roman" w:hAnsi="Times New Roman" w:eastAsia="黑体"/>
          <w:b/>
          <w:color w:val="000000"/>
          <w:sz w:val="32"/>
        </w:rPr>
        <w:t>参考文献</w:t>
      </w:r>
      <w:bookmarkEnd w:id="14"/>
    </w:p>
    <w:p>
      <w:pPr>
        <w:spacing w:line="360" w:lineRule="auto" w:after="0"/>
        <w:ind w:firstLine="0"/>
      </w:pPr>
      <w:r>
        <w:rPr>
          <w:rFonts w:ascii="Times New Roman" w:hAnsi="Times New Roman" w:eastAsia="宋体"/>
          <w:color w:val="000000"/>
          <w:sz w:val="24"/>
        </w:rPr>
        <w:t xml:space="preserve">[1] Johns Hopkins University Center for Systems Science and Engineering. COVID-19 Data Repository by CSSE at Johns Hopkins University[DB/OL]. GitHub, 2020-2023. </w:t>
      </w:r>
      <w:hyperlink r:id="rId24">
        <w:r>
          <w:rPr>
            <w:color w:val="0563C1"/>
            <w:u w:val="single"/>
          </w:rPr>
          <w:t>https://github.com/CSSEGISandData/COVID-19</w:t>
        </w:r>
      </w:hyperlink>
      <w:r>
        <w:rPr>
          <w:rFonts w:ascii="Times New Roman" w:hAnsi="Times New Roman" w:eastAsia="宋体"/>
          <w:color w:val="000000"/>
          <w:sz w:val="24"/>
        </w:rPr>
        <w:t>, 访问日期: 2026-06-25.</w:t>
      </w:r>
    </w:p>
    <w:p>
      <w:pPr>
        <w:spacing w:line="360" w:lineRule="auto" w:after="0"/>
        <w:ind w:firstLine="0"/>
      </w:pPr>
      <w:r>
        <w:rPr>
          <w:rFonts w:ascii="Times New Roman" w:hAnsi="Times New Roman" w:eastAsia="宋体"/>
          <w:color w:val="000000"/>
          <w:sz w:val="24"/>
        </w:rPr>
        <w:t xml:space="preserve">[2] Dong E, Du H, Gardner L. An interactive web-based dashboard to track COVID-19 in real time[J]. The Lancet Infectious Diseases, 2020, 20(5): 533-534. </w:t>
      </w:r>
      <w:hyperlink r:id="rId25">
        <w:r>
          <w:rPr>
            <w:color w:val="0563C1"/>
            <w:u w:val="single"/>
          </w:rPr>
          <w:t>https://doi.org/10.1016/S1473-3099(20)30120-1</w:t>
        </w:r>
      </w:hyperlink>
      <w:r>
        <w:rPr>
          <w:rFonts w:ascii="Times New Roman" w:hAnsi="Times New Roman" w:eastAsia="宋体"/>
          <w:color w:val="000000"/>
          <w:sz w:val="24"/>
        </w:rPr>
        <w:t>.</w:t>
      </w:r>
    </w:p>
    <w:p>
      <w:pPr>
        <w:spacing w:line="360" w:lineRule="auto" w:after="0"/>
        <w:ind w:firstLine="0"/>
      </w:pPr>
      <w:r>
        <w:rPr>
          <w:rFonts w:ascii="Times New Roman" w:hAnsi="Times New Roman" w:eastAsia="宋体"/>
          <w:color w:val="000000"/>
          <w:sz w:val="24"/>
        </w:rPr>
        <w:t xml:space="preserve">[3] Kermack W O, McKendrick A G. A contribution to the mathematical theory of epidemics[J]. Proceedings of the Royal Society A, 1927, 115(772): 700-721. </w:t>
      </w:r>
      <w:hyperlink r:id="rId26">
        <w:r>
          <w:rPr>
            <w:color w:val="0563C1"/>
            <w:u w:val="single"/>
          </w:rPr>
          <w:t>https://doi.org/10.1098/rspa.1927.0118</w:t>
        </w:r>
      </w:hyperlink>
      <w:r>
        <w:rPr>
          <w:rFonts w:ascii="Times New Roman" w:hAnsi="Times New Roman" w:eastAsia="宋体"/>
          <w:color w:val="000000"/>
          <w:sz w:val="24"/>
        </w:rPr>
        <w:t>.</w:t>
      </w:r>
    </w:p>
    <w:p>
      <w:pPr>
        <w:spacing w:line="360" w:lineRule="auto" w:after="0"/>
        <w:ind w:firstLine="0"/>
      </w:pPr>
      <w:r>
        <w:rPr>
          <w:rFonts w:ascii="Times New Roman" w:hAnsi="Times New Roman" w:eastAsia="宋体"/>
          <w:color w:val="000000"/>
          <w:sz w:val="24"/>
        </w:rPr>
        <w:t xml:space="preserve">[4] Hethcote H W. The mathematics of infectious diseases[J]. SIAM Review, 2000, 42(4): 599-653. </w:t>
      </w:r>
      <w:hyperlink r:id="rId27">
        <w:r>
          <w:rPr>
            <w:color w:val="0563C1"/>
            <w:u w:val="single"/>
          </w:rPr>
          <w:t>https://doi.org/10.1137/S0036144500371907</w:t>
        </w:r>
      </w:hyperlink>
      <w:r>
        <w:rPr>
          <w:rFonts w:ascii="Times New Roman" w:hAnsi="Times New Roman" w:eastAsia="宋体"/>
          <w:color w:val="000000"/>
          <w:sz w:val="24"/>
        </w:rPr>
        <w:t>.</w:t>
      </w:r>
    </w:p>
    <w:p>
      <w:pPr>
        <w:spacing w:line="360" w:lineRule="auto" w:after="0"/>
        <w:ind w:firstLine="0"/>
      </w:pPr>
      <w:r>
        <w:rPr>
          <w:rFonts w:ascii="Times New Roman" w:hAnsi="Times New Roman" w:eastAsia="宋体"/>
          <w:color w:val="000000"/>
          <w:sz w:val="24"/>
        </w:rPr>
        <w:t>[5] Anderson R M, May R M. Infectious Diseases of Humans: Dynamics and Control[M]. Oxford: Oxford University Press, 1991. ISBN: 9780198540403.</w:t>
      </w:r>
    </w:p>
    <w:p>
      <w:pPr>
        <w:spacing w:line="360" w:lineRule="auto" w:after="0"/>
        <w:ind w:firstLine="0"/>
      </w:pPr>
      <w:r>
        <w:rPr>
          <w:rFonts w:ascii="Times New Roman" w:hAnsi="Times New Roman" w:eastAsia="宋体"/>
          <w:color w:val="000000"/>
          <w:sz w:val="24"/>
        </w:rPr>
        <w:t xml:space="preserve">[6] World Health Organization. Coronavirus disease (COVID-19) pandemic[EB/OL]. </w:t>
      </w:r>
      <w:hyperlink r:id="rId28">
        <w:r>
          <w:rPr>
            <w:color w:val="0563C1"/>
            <w:u w:val="single"/>
          </w:rPr>
          <w:t>https://www.who.int/emergencies/diseases/novel-coronavirus-2019</w:t>
        </w:r>
      </w:hyperlink>
      <w:r>
        <w:rPr>
          <w:rFonts w:ascii="Times New Roman" w:hAnsi="Times New Roman" w:eastAsia="宋体"/>
          <w:color w:val="000000"/>
          <w:sz w:val="24"/>
        </w:rPr>
        <w:t>, 访问日期: 2026-06-25.</w:t>
      </w:r>
    </w:p>
    <w:p>
      <w:pPr>
        <w:spacing w:line="360" w:lineRule="auto" w:after="0"/>
        <w:ind w:firstLine="0"/>
      </w:pPr>
      <w:r>
        <w:rPr>
          <w:rFonts w:ascii="Times New Roman" w:hAnsi="Times New Roman" w:eastAsia="宋体"/>
          <w:color w:val="000000"/>
          <w:sz w:val="24"/>
        </w:rPr>
        <w:t xml:space="preserve">[7] Pedregosa F, Varoquaux G, Gramfort A, et al. Scikit-learn: Machine learning in Python[J]. Journal of Machine Learning Research, 2011, 12: 2825-2830. </w:t>
      </w:r>
      <w:hyperlink r:id="rId29">
        <w:r>
          <w:rPr>
            <w:color w:val="0563C1"/>
            <w:u w:val="single"/>
          </w:rPr>
          <w:t>https://jmlr.org/papers/v12/pedregosa11a.html</w:t>
        </w:r>
      </w:hyperlink>
      <w:r>
        <w:rPr>
          <w:rFonts w:ascii="Times New Roman" w:hAnsi="Times New Roman" w:eastAsia="宋体"/>
          <w:color w:val="000000"/>
          <w:sz w:val="24"/>
        </w:rPr>
        <w:t>.</w:t>
      </w:r>
    </w:p>
    <w:p>
      <w:pPr>
        <w:spacing w:line="360" w:lineRule="auto" w:after="0"/>
        <w:ind w:firstLine="0"/>
      </w:pPr>
      <w:r>
        <w:rPr>
          <w:rFonts w:ascii="Times New Roman" w:hAnsi="Times New Roman" w:eastAsia="宋体"/>
          <w:color w:val="000000"/>
          <w:sz w:val="24"/>
        </w:rPr>
        <w:t xml:space="preserve">[8] Friedman J H. Greedy function approximation: A gradient boosting machine[J]. Annals of Statistics, 2001, 29(5): 1189-1232. </w:t>
      </w:r>
      <w:hyperlink r:id="rId30">
        <w:r>
          <w:rPr>
            <w:color w:val="0563C1"/>
            <w:u w:val="single"/>
          </w:rPr>
          <w:t>https://doi.org/10.1214/aos/1013203451</w:t>
        </w:r>
      </w:hyperlink>
      <w:r>
        <w:rPr>
          <w:rFonts w:ascii="Times New Roman" w:hAnsi="Times New Roman" w:eastAsia="宋体"/>
          <w:color w:val="000000"/>
          <w:sz w:val="24"/>
        </w:rPr>
        <w:t>.</w:t>
      </w:r>
    </w:p>
    <w:p>
      <w:pPr>
        <w:spacing w:line="360" w:lineRule="auto" w:after="0"/>
        <w:ind w:firstLine="0"/>
      </w:pPr>
      <w:r>
        <w:rPr>
          <w:rFonts w:ascii="Times New Roman" w:hAnsi="Times New Roman" w:eastAsia="宋体"/>
          <w:color w:val="000000"/>
          <w:sz w:val="24"/>
        </w:rPr>
        <w:t xml:space="preserve">[9] Hastie T, Tibshirani R, Friedman J. The Elements of Statistical Learning[M]. New York: Springer, 2009. ISBN: 9780387848570. </w:t>
      </w:r>
      <w:hyperlink r:id="rId31">
        <w:r>
          <w:rPr>
            <w:color w:val="0563C1"/>
            <w:u w:val="single"/>
          </w:rPr>
          <w:t>https://hastie.su.domains/ElemStatLearn/</w:t>
        </w:r>
      </w:hyperlink>
      <w:r>
        <w:rPr>
          <w:rFonts w:ascii="Times New Roman" w:hAnsi="Times New Roman" w:eastAsia="宋体"/>
          <w:color w:val="000000"/>
          <w:sz w:val="24"/>
        </w:rPr>
        <w:t>.</w:t>
      </w:r>
    </w:p>
    <w:p>
      <w:pPr>
        <w:spacing w:line="360" w:lineRule="auto" w:after="0"/>
        <w:ind w:firstLine="0"/>
      </w:pPr>
      <w:r>
        <w:rPr>
          <w:rFonts w:ascii="Times New Roman" w:hAnsi="Times New Roman" w:eastAsia="宋体"/>
          <w:color w:val="000000"/>
          <w:sz w:val="24"/>
        </w:rPr>
        <w:t xml:space="preserve">[10] Hyndman R J, Athanasopoulos G. Forecasting: Principles and Practice[M/OL]. 3rd ed. OTexts, 2021. </w:t>
      </w:r>
      <w:hyperlink r:id="rId32">
        <w:r>
          <w:rPr>
            <w:color w:val="0563C1"/>
            <w:u w:val="single"/>
          </w:rPr>
          <w:t>https://otexts.com/fpp3/</w:t>
        </w:r>
      </w:hyperlink>
      <w:r>
        <w:rPr>
          <w:rFonts w:ascii="Times New Roman" w:hAnsi="Times New Roman" w:eastAsia="宋体"/>
          <w:color w:val="000000"/>
          <w:sz w:val="24"/>
        </w:rPr>
        <w:t>, 访问日期: 2026-06-25.</w:t>
      </w:r>
    </w:p>
    <w:p>
      <w:pPr>
        <w:spacing w:line="360" w:lineRule="auto" w:after="0"/>
        <w:ind w:firstLine="0"/>
      </w:pPr>
      <w:r>
        <w:rPr>
          <w:rFonts w:ascii="Times New Roman" w:hAnsi="Times New Roman" w:eastAsia="宋体"/>
          <w:color w:val="000000"/>
          <w:sz w:val="24"/>
        </w:rPr>
        <w:t xml:space="preserve">[11] James G, Witten D, Hastie T, Tibshirani R. An Introduction to Statistical Learning[M]. 2nd ed. New York: Springer, 2021. ISBN: 9781071614174. </w:t>
      </w:r>
      <w:hyperlink r:id="rId33">
        <w:r>
          <w:rPr>
            <w:color w:val="0563C1"/>
            <w:u w:val="single"/>
          </w:rPr>
          <w:t>https://www.statlearning.com/</w:t>
        </w:r>
      </w:hyperlink>
      <w:r>
        <w:rPr>
          <w:rFonts w:ascii="Times New Roman" w:hAnsi="Times New Roman" w:eastAsia="宋体"/>
          <w:color w:val="000000"/>
          <w:sz w:val="24"/>
        </w:rPr>
        <w:t>.</w:t>
      </w:r>
    </w:p>
    <w:p>
      <w:pPr>
        <w:spacing w:line="360" w:lineRule="auto" w:after="0"/>
        <w:ind w:firstLine="0"/>
      </w:pPr>
      <w:r>
        <w:rPr>
          <w:rFonts w:ascii="Times New Roman" w:hAnsi="Times New Roman" w:eastAsia="宋体"/>
          <w:color w:val="000000"/>
          <w:sz w:val="24"/>
        </w:rPr>
        <w:t xml:space="preserve">[12] 中华人民共和国国家卫生健康委员会. 疫情通报[EB/OL]. </w:t>
      </w:r>
      <w:hyperlink r:id="rId34">
        <w:r>
          <w:rPr>
            <w:color w:val="0563C1"/>
            <w:u w:val="single"/>
          </w:rPr>
          <w:t>https://www.nhc.gov.cn/xcs/yqtb/list_gzbd.shtml</w:t>
        </w:r>
      </w:hyperlink>
      <w:r>
        <w:rPr>
          <w:rFonts w:ascii="Times New Roman" w:hAnsi="Times New Roman" w:eastAsia="宋体"/>
          <w:color w:val="000000"/>
          <w:sz w:val="24"/>
        </w:rPr>
        <w:t>, 访问日期: 2026-06-25.</w:t>
      </w:r>
    </w:p>
    <w:sectPr w:rsidR="00FC693F" w:rsidRPr="0006063C" w:rsidSect="00034616">
      <w:footerReference w:type="default" r:id="rId10"/>
      <w:pgSz w:w="11906" w:h="16838"/>
      <w:pgMar w:top="1417" w:right="1417" w:bottom="1417" w:left="1417" w:header="850" w:footer="85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color w:val="000000"/>
        <w:sz w:val="21"/>
      </w:rPr>
      <w:fldChar w:fldCharType="begin"/>
      <w:instrText xml:space="preserve">PAGE \* ROMAN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color w:val="000000"/>
        <w:sz w:val="21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320" w:line="360" w:lineRule="auto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140" w:line="36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36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0" w:line="360" w:lineRule="auto" w:before="0"/>
      <w:ind w:firstLine="480"/>
      <w:jc w:val="left"/>
    </w:pPr>
    <w:rPr>
      <w:rFonts w:ascii="Times New Roman" w:hAnsi="Times New Roman" w:eastAsia="宋体"/>
      <w:sz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hyperlink" Target="https://github.com/CSSEGISandData/COVID-19" TargetMode="External"/><Relationship Id="rId25" Type="http://schemas.openxmlformats.org/officeDocument/2006/relationships/hyperlink" Target="https://doi.org/10.1016/S1473-3099(20)30120-1" TargetMode="External"/><Relationship Id="rId26" Type="http://schemas.openxmlformats.org/officeDocument/2006/relationships/hyperlink" Target="https://doi.org/10.1098/rspa.1927.0118" TargetMode="External"/><Relationship Id="rId27" Type="http://schemas.openxmlformats.org/officeDocument/2006/relationships/hyperlink" Target="https://doi.org/10.1137/S0036144500371907" TargetMode="External"/><Relationship Id="rId28" Type="http://schemas.openxmlformats.org/officeDocument/2006/relationships/hyperlink" Target="https://www.who.int/emergencies/diseases/novel-coronavirus-2019" TargetMode="External"/><Relationship Id="rId29" Type="http://schemas.openxmlformats.org/officeDocument/2006/relationships/hyperlink" Target="https://jmlr.org/papers/v12/pedregosa11a.html" TargetMode="External"/><Relationship Id="rId30" Type="http://schemas.openxmlformats.org/officeDocument/2006/relationships/hyperlink" Target="https://doi.org/10.1214/aos/1013203451" TargetMode="External"/><Relationship Id="rId31" Type="http://schemas.openxmlformats.org/officeDocument/2006/relationships/hyperlink" Target="https://hastie.su.domains/ElemStatLearn/" TargetMode="External"/><Relationship Id="rId32" Type="http://schemas.openxmlformats.org/officeDocument/2006/relationships/hyperlink" Target="https://otexts.com/fpp3/" TargetMode="External"/><Relationship Id="rId33" Type="http://schemas.openxmlformats.org/officeDocument/2006/relationships/hyperlink" Target="https://www.statlearning.com/" TargetMode="External"/><Relationship Id="rId34" Type="http://schemas.openxmlformats.org/officeDocument/2006/relationships/hyperlink" Target="https://www.nhc.gov.cn/xcs/yqtb/list_gzbd.s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