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期末大作业论文</w:t>
      </w:r>
    </w:p>
    <w:p/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基于传染病动力学模型与机器学习方法的疫情传播预测研究</w:t>
      </w:r>
    </w:p>
    <w:p/>
    <w:p/>
    <w:p/>
    <w:p/>
    <w:p/>
    <w:tbl>
      <w:tblPr>
        <w:tblStyle w:val="TableGrid"/>
        <w:tblW w:type="dxa" w:w="760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5200"/>
      </w:tblGrid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课程名称</w:t>
            </w:r>
          </w:p>
        </w:tc>
        <w:tc>
          <w:tcPr>
            <w:tcW w:type="dxa" w:w="52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计算机建模技术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作业题目</w:t>
            </w:r>
          </w:p>
        </w:tc>
        <w:tc>
          <w:tcPr>
            <w:tcW w:type="dxa" w:w="52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题目一：疫情传播模型与预测模型方法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学号</w:t>
            </w:r>
          </w:p>
        </w:tc>
        <w:tc>
          <w:tcPr>
            <w:tcW w:type="dxa" w:w="52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1030424322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姓名</w:t>
            </w:r>
          </w:p>
        </w:tc>
        <w:tc>
          <w:tcPr>
            <w:tcW w:type="dxa" w:w="52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解宝赛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完成日期</w:t>
            </w:r>
          </w:p>
        </w:tc>
        <w:tc>
          <w:tcPr>
            <w:tcW w:type="dxa" w:w="52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2026-06-22</w:t>
            </w:r>
          </w:p>
        </w:tc>
      </w:tr>
    </w:tbl>
    <w:p>
      <w:pPr>
        <w:sectPr>
          <w:pgSz w:w="11906" w:h="16838"/>
          <w:pgMar w:top="1417" w:right="1417" w:bottom="1417" w:left="1417" w:header="850" w:footer="850" w:gutter="0"/>
          <w:cols w:space="720"/>
          <w:docGrid w:linePitch="360"/>
        </w:sectPr>
      </w:pPr>
    </w:p>
    <w:p>
      <w:pPr>
        <w:pStyle w:val="Heading1"/>
      </w:pPr>
      <w:r/>
      <w:r>
        <w:rPr>
          <w:rFonts w:ascii="Times New Roman" w:hAnsi="Times New Roman" w:eastAsia="黑体"/>
          <w:b/>
          <w:color w:val="000000"/>
          <w:sz w:val="32"/>
        </w:rPr>
        <w:t>摘要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本研究围绕课程题目一“疫情传播模型与预测模型方法”，使用 Johns Hopkins University CSSE COVID-19 全球时间序列数据，以中国大陆为主要分析对象，构建传染病动力学模型与机器学习预测模型。数据口径明确排除 JHU China 条目中的 Hong Kong、Macau、Taiwan 和 Unknown，因此区域趋势图与 Top 10 省份表均表示中国大陆省级记录。样本时间范围为 2020-01-22 至 2023-03-09，末期累计确诊 502,088 例，累计死亡 5,273 例。研究首先将累计确诊、死亡、治愈序列转换为每日新增序列，并对负新增值进行 0 截断；随后绘制累计趋势、每日新增趋势、省份传播趋势和 Top 10 省份对比图。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模型部分包括固定参数 SIR、时变参数 SIR，以及 Naive persistence、LinearRegression、RandomForestRegressor、GradientBoostingRegressor 等机器学习模型。固定参数 SIR 用于解释感染率、移除率与基本再生数的含义；时变参数 SIR 被定位为基于历史数据反推参数后的描述性拟合/重构模型，不把 R² 接近 1 的结果当作测试集预测能力。机器学习模型使用相同时间顺序训练/测试划分，并以 RMSE、MAE、R² 比较预测误差。在每日新增确诊测试集中，NaivePersistence 的 RMSE 为 1,380.615、MAE 为 440.296、R² 为 0.576。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结果表明，SIR 类模型的优势在于机制解释，能够说明接触率降低和移除率提高对传播控制的作用；机器学习模型更适合每日新增的短期数值预测，但对统计口径变化、集中补报、低死亡数波动和 recovered 数据停止更新较敏感。由于 JHU recovered 全球序列可靠更新至 2021-08-04，本文只在该可靠区间内评估 recovered，其未来结果作为可靠区间结束后的短期外推，不与 2023 年 confirmed/deaths 预测混合展示。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关键词：疫情传播；SIR 模型；时变参数；机器学习；GradientBoosting；时间序列预测；区域传播趋势</w:t>
      </w:r>
    </w:p>
    <w:p>
      <w:r>
        <w:br w:type="page"/>
      </w:r>
    </w:p>
    <w:p>
      <w:pPr>
        <w:pStyle w:val="Heading1"/>
      </w:pPr>
      <w:r/>
      <w:r>
        <w:rPr>
          <w:rFonts w:ascii="Times New Roman" w:hAnsi="Times New Roman" w:eastAsia="黑体"/>
          <w:b/>
          <w:color w:val="000000"/>
          <w:sz w:val="32"/>
        </w:rPr>
        <w:t>目录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color w:val="000000"/>
          <w:sz w:val="24"/>
        </w:rPr>
        <w:t>摘要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color w:val="000000"/>
          <w:sz w:val="24"/>
        </w:rPr>
        <w:t>一、引言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color w:val="000000"/>
          <w:sz w:val="24"/>
        </w:rPr>
        <w:t>二、数据来源与预处理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color w:val="000000"/>
          <w:sz w:val="24"/>
        </w:rPr>
        <w:t>三、实验设置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color w:val="000000"/>
          <w:sz w:val="24"/>
        </w:rPr>
        <w:t>四、疫情传播规律与区域趋势分析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color w:val="000000"/>
          <w:sz w:val="24"/>
        </w:rPr>
        <w:t>五、固定参数 SIR 模型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color w:val="000000"/>
          <w:sz w:val="24"/>
        </w:rPr>
        <w:t>六、时变参数 SIR 模型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color w:val="000000"/>
          <w:sz w:val="24"/>
        </w:rPr>
        <w:t>七、机器学习每日新增预测模型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color w:val="000000"/>
          <w:sz w:val="24"/>
        </w:rPr>
        <w:t>八、同窗口舱室变量对比实验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color w:val="000000"/>
          <w:sz w:val="24"/>
        </w:rPr>
        <w:t>九、未来 7 天和 14 天预测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color w:val="000000"/>
          <w:sz w:val="24"/>
        </w:rPr>
        <w:t>十、模型对比分析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color w:val="000000"/>
          <w:sz w:val="24"/>
        </w:rPr>
        <w:t>十一、结论与不足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color w:val="000000"/>
          <w:sz w:val="24"/>
        </w:rPr>
        <w:t>参考文献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color w:val="000000"/>
          <w:sz w:val="24"/>
        </w:rPr>
        <w:t>附录：核心代码说明</w:t>
      </w:r>
    </w:p>
    <w:p>
      <w:pPr>
        <w:sectPr>
          <w:footerReference w:type="default" r:id="rId9"/>
          <w:pgSz w:w="11906" w:h="16838"/>
          <w:pgMar w:top="1417" w:right="1417" w:bottom="1417" w:left="1417" w:header="850" w:footer="850" w:gutter="0"/>
          <w:cols w:space="720"/>
          <w:docGrid w:linePitch="360"/>
          <w:pgNumType w:start="1"/>
        </w:sectPr>
      </w:pPr>
    </w:p>
    <w:p>
      <w:pPr>
        <w:pStyle w:val="Heading1"/>
      </w:pPr>
      <w:r/>
      <w:r>
        <w:rPr>
          <w:rFonts w:ascii="Times New Roman" w:hAnsi="Times New Roman" w:eastAsia="黑体"/>
          <w:b/>
          <w:color w:val="000000"/>
          <w:sz w:val="32"/>
        </w:rPr>
        <w:t>一、引言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新冠疫情数据既具有传染病动力学特征，也具有典型时间序列特征。累计确诊、累计死亡和累计治愈能够反映疫情总规模，每日新增则更直接地反映短期传播强度、集中补报、检测能力变化和防控措施影响。课程大作业要求不仅给出预测结果，还要说明数据来源、模型假设、评价指标和可视化结论。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因此，本研究采用两条互补路线：一是使用 SIR 及其时变参数形式解释传播机制；二是使用多种机器学习回归模型学习每日新增序列的短期规律。前者强调 beta、gamma、R0 等参数的流行病学含义，后者强调滞后特征、滚动统计特征与日历特征对短期预测的贡献。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与只展示单一模型不同，本研究保留 Naive persistence baseline，并加入 LinearRegression、RandomForestRegressor 和 GradientBoostingRegressor。Naive baseline 代表最简单的“明天等于今天”假设，是判断复杂模型是否真正有效的最低参照；线性回归提供可解释的线性基线；随机森林和梯度提升树用于刻画非线性关系。</w:t>
      </w:r>
    </w:p>
    <w:p>
      <w:pPr>
        <w:pStyle w:val="Heading1"/>
      </w:pPr>
      <w:r/>
      <w:r>
        <w:rPr>
          <w:rFonts w:ascii="Times New Roman" w:hAnsi="Times New Roman" w:eastAsia="黑体"/>
          <w:b/>
          <w:color w:val="000000"/>
          <w:sz w:val="32"/>
        </w:rPr>
        <w:t>二、数据来源与预处理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数据来源为 Johns Hopkins University Center for Systems Science and Engineering 公开维护的 COVID-19 Data Repository。原始文件包括 time_series_covid19_confirmed_global.csv、time_series_covid19_deaths_global.csv 和 time_series_covid19_recovered_global.csv。本研究保留 JHU 数据源，但将 China 口径进一步限定为中国大陆：在国家汇总和省级面板中排除 Hong Kong、Macau、Taiwan 和 Unknown。这样做的目的不是否认这些地区的数据价值，而是为了避免大陆省级趋势图和 Top 10 省份对比中混入不同统计口径。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预处理首先将 JHU 宽表日期列转换为标准长时间序列，并按日期升序排列。累计值转换为每日新增值时，使用相邻日期差分；若出现负新增值，按 0 截断，以处理历史修正或集中回补带来的异常负数。该处理会在数据质量表中记录，而不是在论文中伪造平滑结果。</w:t>
      </w:r>
    </w:p>
    <w:p>
      <w:pPr>
        <w:spacing w:line="360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4"/>
        </w:rPr>
        <w:t>daily_new_t = max(cumulative_t - cumulative_{t-1}, 0)    （1）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需要特别说明的是，JHU recovered 全球时间序列的可靠结束日期为 2021-08-04。因此 confirmed 和 deaths 使用完整样本区间 2020-01-22 至 2023-03-09，而 recovered 只在可靠区间内训练、测试和短期外推；正文未来预测不把 recovered 与 2023 年 confirmed/deaths 结果混在同一张明细表中。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 1 数据质量摘要</w:t>
      </w:r>
    </w:p>
    <w:tbl>
      <w:tblPr>
        <w:tblStyle w:val="TableGrid"/>
        <w:tblW w:type="dxa" w:w="740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2200"/>
        <w:gridCol w:w="2600"/>
      </w:tblGrid>
      <w:tr>
        <w:tc>
          <w:tcPr>
            <w:tcW w:type="dxa" w:w="26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变量</w:t>
            </w:r>
          </w:p>
        </w:tc>
        <w:tc>
          <w:tcPr>
            <w:tcW w:type="dxa" w:w="22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缺失天数</w:t>
            </w:r>
          </w:p>
        </w:tc>
        <w:tc>
          <w:tcPr>
            <w:tcW w:type="dxa" w:w="26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负新增截断次数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confirmed</w:t>
            </w:r>
          </w:p>
        </w:tc>
        <w:tc>
          <w:tcPr>
            <w:tcW w:type="dxa" w:w="22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6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deaths</w:t>
            </w:r>
          </w:p>
        </w:tc>
        <w:tc>
          <w:tcPr>
            <w:tcW w:type="dxa" w:w="22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6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recovered</w:t>
            </w:r>
          </w:p>
        </w:tc>
        <w:tc>
          <w:tcPr>
            <w:tcW w:type="dxa" w:w="22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582</w:t>
            </w:r>
          </w:p>
        </w:tc>
        <w:tc>
          <w:tcPr>
            <w:tcW w:type="dxa" w:w="26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</w:tbl>
    <w:p>
      <w:pPr>
        <w:pStyle w:val="Heading1"/>
      </w:pPr>
      <w:r/>
      <w:r>
        <w:rPr>
          <w:rFonts w:ascii="Times New Roman" w:hAnsi="Times New Roman" w:eastAsia="黑体"/>
          <w:b/>
          <w:color w:val="000000"/>
          <w:sz w:val="32"/>
        </w:rPr>
        <w:t>三、实验设置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实验数据范围为 2020-01-22 至 2023-03-09，时间序列划分不随机打乱。每日新增确诊训练期为 2020-02-19 至 2022-07-29，测试期为 2022-07-30 至 2023-03-09。所有机器学习模型使用相同的特征矩阵和相同的训练/测试时间窗口。评价指标包括 RMSE、MAE 和 R²；其中 R² 为负时，表示模型在该测试集上差于使用测试集均值的基线。</w:t>
      </w:r>
    </w:p>
    <w:p>
      <w:pPr>
        <w:spacing w:line="360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4"/>
        </w:rPr>
        <w:t>RMSE = sqrt((1/n) Σ(y_i - ŷ_i)^2)    （2）</w:t>
      </w:r>
    </w:p>
    <w:p>
      <w:pPr>
        <w:spacing w:line="360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4"/>
        </w:rPr>
        <w:t>MAE = (1/n) Σ|y_i - ŷ_i|    （3）</w:t>
      </w:r>
    </w:p>
    <w:p>
      <w:pPr>
        <w:spacing w:line="360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4"/>
        </w:rPr>
        <w:t>R² = 1 - Σ(y_i - ŷ_i)^2 / Σ(y_i - ȳ)^2    （4）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 2 机器学习模型与主要参数</w:t>
      </w:r>
    </w:p>
    <w:tbl>
      <w:tblPr>
        <w:tblStyle w:val="TableGrid"/>
        <w:tblW w:type="dxa" w:w="840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2800"/>
        <w:gridCol w:w="1000"/>
        <w:gridCol w:w="1000"/>
        <w:gridCol w:w="1000"/>
        <w:gridCol w:w="1000"/>
      </w:tblGrid>
      <w:tr>
        <w:tc>
          <w:tcPr>
            <w:tcW w:type="dxa" w:w="16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模型</w:t>
            </w:r>
          </w:p>
        </w:tc>
        <w:tc>
          <w:tcPr>
            <w:tcW w:type="dxa" w:w="28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树数量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学习率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最大深度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随机种子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NaivePersistence</w:t>
            </w:r>
          </w:p>
        </w:tc>
        <w:tc>
          <w:tcPr>
            <w:tcW w:type="dxa" w:w="28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ŷ(t)=y(t-1)</w:t>
            </w:r>
          </w:p>
        </w:tc>
        <w:tc>
          <w:tcPr>
            <w:tcW w:type="dxa" w:w="10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</w:t>
            </w:r>
          </w:p>
        </w:tc>
        <w:tc>
          <w:tcPr>
            <w:tcW w:type="dxa" w:w="10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</w:t>
            </w:r>
          </w:p>
        </w:tc>
        <w:tc>
          <w:tcPr>
            <w:tcW w:type="dxa" w:w="10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</w:t>
            </w:r>
          </w:p>
        </w:tc>
        <w:tc>
          <w:tcPr>
            <w:tcW w:type="dxa" w:w="10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LinearRegression</w:t>
            </w:r>
          </w:p>
        </w:tc>
        <w:tc>
          <w:tcPr>
            <w:tcW w:type="dxa" w:w="28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线性最小二乘回归</w:t>
            </w:r>
          </w:p>
        </w:tc>
        <w:tc>
          <w:tcPr>
            <w:tcW w:type="dxa" w:w="10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</w:t>
            </w:r>
          </w:p>
        </w:tc>
        <w:tc>
          <w:tcPr>
            <w:tcW w:type="dxa" w:w="10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</w:t>
            </w:r>
          </w:p>
        </w:tc>
        <w:tc>
          <w:tcPr>
            <w:tcW w:type="dxa" w:w="10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</w:t>
            </w:r>
          </w:p>
        </w:tc>
        <w:tc>
          <w:tcPr>
            <w:tcW w:type="dxa" w:w="10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RandomForest</w:t>
            </w:r>
          </w:p>
        </w:tc>
        <w:tc>
          <w:tcPr>
            <w:tcW w:type="dxa" w:w="28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随机森林回归</w:t>
            </w:r>
          </w:p>
        </w:tc>
        <w:tc>
          <w:tcPr>
            <w:tcW w:type="dxa" w:w="10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500</w:t>
            </w:r>
          </w:p>
        </w:tc>
        <w:tc>
          <w:tcPr>
            <w:tcW w:type="dxa" w:w="10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</w:t>
            </w:r>
          </w:p>
        </w:tc>
        <w:tc>
          <w:tcPr>
            <w:tcW w:type="dxa" w:w="10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0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GradientBoosting</w:t>
            </w:r>
          </w:p>
        </w:tc>
        <w:tc>
          <w:tcPr>
            <w:tcW w:type="dxa" w:w="28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梯度提升回归树</w:t>
            </w:r>
          </w:p>
        </w:tc>
        <w:tc>
          <w:tcPr>
            <w:tcW w:type="dxa" w:w="10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500</w:t>
            </w:r>
          </w:p>
        </w:tc>
        <w:tc>
          <w:tcPr>
            <w:tcW w:type="dxa" w:w="10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0.03</w:t>
            </w:r>
          </w:p>
        </w:tc>
        <w:tc>
          <w:tcPr>
            <w:tcW w:type="dxa" w:w="10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0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</w:t>
            </w:r>
          </w:p>
        </w:tc>
      </w:tr>
    </w:tbl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程序输出主要保存在 outputs 文件夹：figures 存放趋势图、拟合图、预测图和误差对比图；metrics 存放 SIR 参数、ML 指标、区域 Top 10 表和合并指标表；predictions 存放测试集预测结果以及未来 7 天、14 天预测 CSV。Word 论文中的图表均引用这些程序输出结果。</w:t>
      </w:r>
    </w:p>
    <w:p>
      <w:pPr>
        <w:pStyle w:val="Heading1"/>
      </w:pPr>
      <w:r/>
      <w:r>
        <w:rPr>
          <w:rFonts w:ascii="Times New Roman" w:hAnsi="Times New Roman" w:eastAsia="黑体"/>
          <w:b/>
          <w:color w:val="000000"/>
          <w:sz w:val="32"/>
        </w:rPr>
        <w:t>四、疫情传播规律与区域趋势分析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从累计趋势看，确诊和死亡序列总体呈阶梯式增长，说明疫情统计并非稳定连续变化，而是受到传播高峰、检测能力、统计口径和集中补报共同影响。每日新增曲线比累计曲线更能暴露短期冲击，因此后续机器学习预测以每日新增为主要目标。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图片缺失：outputs/figures/china_mainland_cumulative_trends.png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图片缺失：outputs/figures/china_mainland_daily_trends.png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区域传播趋势部分使用省级面板数据绘制累计确诊趋势、每日新增趋势和 Top 10 省份对比。由于 Hong Kong、Macau、Taiwan 和 Unknown 已被排除，这些图反映的是中国大陆省级记录。Top 10 省份代表累计确诊规模较大的地区，但不等同于风险率；若要比较风险率，还需要按人口规模进行标准化。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7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a_mainland_province_cumulative_confirmed_tren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图 3 各省累计确诊趋势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7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a_mainland_province_daily_confirmed_tre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图 4 各省每日新增确诊趋势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28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a_mainland_province_top10_confirmed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8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图 5 累计确诊 Top 10 省份对比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 3 中国大陆累计确诊 Top 10 省份</w:t>
      </w:r>
    </w:p>
    <w:tbl>
      <w:tblPr>
        <w:tblStyle w:val="TableGrid"/>
        <w:tblW w:type="dxa" w:w="700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900"/>
        <w:gridCol w:w="2100"/>
        <w:gridCol w:w="2100"/>
      </w:tblGrid>
      <w:tr>
        <w:tc>
          <w:tcPr>
            <w:tcW w:type="dxa" w:w="19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省份</w:t>
            </w:r>
          </w:p>
        </w:tc>
        <w:tc>
          <w:tcPr>
            <w:tcW w:type="dxa" w:w="9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天数</w:t>
            </w:r>
          </w:p>
        </w:tc>
        <w:tc>
          <w:tcPr>
            <w:tcW w:type="dxa" w:w="21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期末累计确诊</w:t>
            </w:r>
          </w:p>
        </w:tc>
        <w:tc>
          <w:tcPr>
            <w:tcW w:type="dxa" w:w="21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单日新增峰值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Guangdong</w:t>
            </w:r>
          </w:p>
        </w:tc>
        <w:tc>
          <w:tcPr>
            <w:tcW w:type="dxa" w:w="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103,248</w:t>
            </w:r>
          </w:p>
        </w:tc>
        <w:tc>
          <w:tcPr>
            <w:tcW w:type="dxa" w:w="2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3,508</w:t>
            </w:r>
          </w:p>
        </w:tc>
        <w:tc>
          <w:tcPr>
            <w:tcW w:type="dxa" w:w="2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103,248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Hubei</w:t>
            </w:r>
          </w:p>
        </w:tc>
        <w:tc>
          <w:tcPr>
            <w:tcW w:type="dxa" w:w="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72,131</w:t>
            </w:r>
          </w:p>
        </w:tc>
        <w:tc>
          <w:tcPr>
            <w:tcW w:type="dxa" w:w="2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14,840</w:t>
            </w:r>
          </w:p>
        </w:tc>
        <w:tc>
          <w:tcPr>
            <w:tcW w:type="dxa" w:w="2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72,132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Shanghai</w:t>
            </w:r>
          </w:p>
        </w:tc>
        <w:tc>
          <w:tcPr>
            <w:tcW w:type="dxa" w:w="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67,040</w:t>
            </w:r>
          </w:p>
        </w:tc>
        <w:tc>
          <w:tcPr>
            <w:tcW w:type="dxa" w:w="2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5,489</w:t>
            </w:r>
          </w:p>
        </w:tc>
        <w:tc>
          <w:tcPr>
            <w:tcW w:type="dxa" w:w="2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67,629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Beijing</w:t>
            </w:r>
          </w:p>
        </w:tc>
        <w:tc>
          <w:tcPr>
            <w:tcW w:type="dxa" w:w="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40,774</w:t>
            </w:r>
          </w:p>
        </w:tc>
        <w:tc>
          <w:tcPr>
            <w:tcW w:type="dxa" w:w="2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2,360</w:t>
            </w:r>
          </w:p>
        </w:tc>
        <w:tc>
          <w:tcPr>
            <w:tcW w:type="dxa" w:w="2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40,775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Jilin</w:t>
            </w:r>
          </w:p>
        </w:tc>
        <w:tc>
          <w:tcPr>
            <w:tcW w:type="dxa" w:w="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40,764</w:t>
            </w:r>
          </w:p>
        </w:tc>
        <w:tc>
          <w:tcPr>
            <w:tcW w:type="dxa" w:w="2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4,222</w:t>
            </w:r>
          </w:p>
        </w:tc>
        <w:tc>
          <w:tcPr>
            <w:tcW w:type="dxa" w:w="2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40,765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Fujian</w:t>
            </w:r>
          </w:p>
        </w:tc>
        <w:tc>
          <w:tcPr>
            <w:tcW w:type="dxa" w:w="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17,122</w:t>
            </w:r>
          </w:p>
        </w:tc>
        <w:tc>
          <w:tcPr>
            <w:tcW w:type="dxa" w:w="2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1,234</w:t>
            </w:r>
          </w:p>
        </w:tc>
        <w:tc>
          <w:tcPr>
            <w:tcW w:type="dxa" w:w="2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17,195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Chongqing</w:t>
            </w:r>
          </w:p>
        </w:tc>
        <w:tc>
          <w:tcPr>
            <w:tcW w:type="dxa" w:w="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14,715</w:t>
            </w:r>
          </w:p>
        </w:tc>
        <w:tc>
          <w:tcPr>
            <w:tcW w:type="dxa" w:w="2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654</w:t>
            </w:r>
          </w:p>
        </w:tc>
        <w:tc>
          <w:tcPr>
            <w:tcW w:type="dxa" w:w="2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14,715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Sichuan</w:t>
            </w:r>
          </w:p>
        </w:tc>
        <w:tc>
          <w:tcPr>
            <w:tcW w:type="dxa" w:w="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14,567</w:t>
            </w:r>
          </w:p>
        </w:tc>
        <w:tc>
          <w:tcPr>
            <w:tcW w:type="dxa" w:w="2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475</w:t>
            </w:r>
          </w:p>
        </w:tc>
        <w:tc>
          <w:tcPr>
            <w:tcW w:type="dxa" w:w="2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14,567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Guangxi</w:t>
            </w:r>
          </w:p>
        </w:tc>
        <w:tc>
          <w:tcPr>
            <w:tcW w:type="dxa" w:w="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13,371</w:t>
            </w:r>
          </w:p>
        </w:tc>
        <w:tc>
          <w:tcPr>
            <w:tcW w:type="dxa" w:w="2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2,046</w:t>
            </w:r>
          </w:p>
        </w:tc>
        <w:tc>
          <w:tcPr>
            <w:tcW w:type="dxa" w:w="2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13,371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Zhejiang</w:t>
            </w:r>
          </w:p>
        </w:tc>
        <w:tc>
          <w:tcPr>
            <w:tcW w:type="dxa" w:w="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11,848</w:t>
            </w:r>
          </w:p>
        </w:tc>
        <w:tc>
          <w:tcPr>
            <w:tcW w:type="dxa" w:w="2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4,220</w:t>
            </w:r>
          </w:p>
        </w:tc>
        <w:tc>
          <w:tcPr>
            <w:tcW w:type="dxa" w:w="2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11,848</w:t>
            </w:r>
          </w:p>
        </w:tc>
      </w:tr>
    </w:tbl>
    <w:p>
      <w:pPr>
        <w:pStyle w:val="Heading1"/>
      </w:pPr>
      <w:r/>
      <w:r>
        <w:rPr>
          <w:rFonts w:ascii="Times New Roman" w:hAnsi="Times New Roman" w:eastAsia="黑体"/>
          <w:b/>
          <w:color w:val="000000"/>
          <w:sz w:val="32"/>
        </w:rPr>
        <w:t>五、固定参数 SIR 模型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SIR 模型将人群划分为易感者 S、感染者 I 和移除者 R。本文用 confirmed - recovered - deaths 近似感染者，用 recovered + deaths 近似移除者。固定参数 SIR 假设 beta 和 gamma 在拟合窗口内保持不变，因此更适合解释平均传播强度，而不是精确追踪每一个统计突变点。</w:t>
      </w:r>
    </w:p>
    <w:p>
      <w:pPr>
        <w:spacing w:line="360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4"/>
        </w:rPr>
        <w:t>dS/dt = -βSI/N    （5）</w:t>
      </w:r>
    </w:p>
    <w:p>
      <w:pPr>
        <w:spacing w:line="360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4"/>
        </w:rPr>
        <w:t>dI/dt = βSI/N - γI    （6）</w:t>
      </w:r>
    </w:p>
    <w:p>
      <w:pPr>
        <w:spacing w:line="360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4"/>
        </w:rPr>
        <w:t>dR/dt = γI    （7）</w:t>
      </w:r>
    </w:p>
    <w:p>
      <w:pPr>
        <w:spacing w:line="360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4"/>
        </w:rPr>
        <w:t>R0 = β/γ    （8）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其中 beta 表示传播率，gamma 表示移除率，R0 可近似衡量传播强度。降低接触率会降低 beta，提高隔离、治疗和恢复效率会提高 gamma，二者共同决定疫情是否趋于扩散。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 4 固定参数 SIR 拟合参数</w:t>
      </w:r>
    </w:p>
    <w:tbl>
      <w:tblPr>
        <w:tblStyle w:val="TableGrid"/>
        <w:tblW w:type="dxa" w:w="850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800"/>
        <w:gridCol w:w="1100"/>
        <w:gridCol w:w="1100"/>
        <w:gridCol w:w="1200"/>
        <w:gridCol w:w="2100"/>
      </w:tblGrid>
      <w:tr>
        <w:tc>
          <w:tcPr>
            <w:tcW w:type="dxa" w:w="11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开始</w:t>
            </w:r>
          </w:p>
        </w:tc>
        <w:tc>
          <w:tcPr>
            <w:tcW w:type="dxa" w:w="11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结束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天数</w:t>
            </w:r>
          </w:p>
        </w:tc>
        <w:tc>
          <w:tcPr>
            <w:tcW w:type="dxa" w:w="11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β</w:t>
            </w:r>
          </w:p>
        </w:tc>
        <w:tc>
          <w:tcPr>
            <w:tcW w:type="dxa" w:w="11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γ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R0</w:t>
            </w:r>
          </w:p>
        </w:tc>
        <w:tc>
          <w:tcPr>
            <w:tcW w:type="dxa" w:w="21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有效人口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2020-01-22</w:t>
            </w:r>
          </w:p>
        </w:tc>
        <w:tc>
          <w:tcPr>
            <w:tcW w:type="dxa" w:w="1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2020-07-19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0.327</w:t>
            </w:r>
          </w:p>
        </w:tc>
        <w:tc>
          <w:tcPr>
            <w:tcW w:type="dxa" w:w="1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0.048</w:t>
            </w:r>
          </w:p>
        </w:tc>
        <w:tc>
          <w:tcPr>
            <w:tcW w:type="dxa" w:w="12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6.805</w:t>
            </w:r>
          </w:p>
        </w:tc>
        <w:tc>
          <w:tcPr>
            <w:tcW w:type="dxa" w:w="21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84,517</w:t>
            </w:r>
          </w:p>
        </w:tc>
      </w:tr>
    </w:tbl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979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a_mainland_sir_f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7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图 6 固定参数 SIR 模型拟合结果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 5 固定参数 SIR 模型评价指标</w:t>
      </w:r>
    </w:p>
    <w:tbl>
      <w:tblPr>
        <w:tblStyle w:val="TableGrid"/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2200"/>
        <w:gridCol w:w="1800"/>
        <w:gridCol w:w="1800"/>
        <w:gridCol w:w="1200"/>
      </w:tblGrid>
      <w:tr>
        <w:tc>
          <w:tcPr>
            <w:tcW w:type="dxa" w:w="22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变量</w:t>
            </w:r>
          </w:p>
        </w:tc>
        <w:tc>
          <w:tcPr>
            <w:tcW w:type="dxa" w:w="22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模型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RMSE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MAE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R²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active_infected</w:t>
            </w:r>
          </w:p>
        </w:tc>
        <w:tc>
          <w:tcPr>
            <w:tcW w:type="dxa" w:w="22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SIR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4,010.700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2,797.289</w:t>
            </w:r>
          </w:p>
        </w:tc>
        <w:tc>
          <w:tcPr>
            <w:tcW w:type="dxa" w:w="12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0.940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removed</w:t>
            </w:r>
          </w:p>
        </w:tc>
        <w:tc>
          <w:tcPr>
            <w:tcW w:type="dxa" w:w="22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SIR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3,857.373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2,361.081</w:t>
            </w:r>
          </w:p>
        </w:tc>
        <w:tc>
          <w:tcPr>
            <w:tcW w:type="dxa" w:w="12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0.983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confirmed</w:t>
            </w:r>
          </w:p>
        </w:tc>
        <w:tc>
          <w:tcPr>
            <w:tcW w:type="dxa" w:w="22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SIR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2,583.123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2,104.141</w:t>
            </w:r>
          </w:p>
        </w:tc>
        <w:tc>
          <w:tcPr>
            <w:tcW w:type="dxa" w:w="12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0.986</w:t>
            </w:r>
          </w:p>
        </w:tc>
      </w:tr>
    </w:tbl>
    <w:p>
      <w:pPr>
        <w:pStyle w:val="Heading1"/>
      </w:pPr>
      <w:r/>
      <w:r>
        <w:rPr>
          <w:rFonts w:ascii="Times New Roman" w:hAnsi="Times New Roman" w:eastAsia="黑体"/>
          <w:b/>
          <w:color w:val="000000"/>
          <w:sz w:val="32"/>
        </w:rPr>
        <w:t>六、时变参数 SIR 模型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时变参数 SIR 将 beta 和 gamma 扩展为 beta(t) 和 gamma(t)，用于刻画传播率和移除率随时间变化的现象。这类模型可以更好地重构历史曲线，但必须谨慎解释：本文的 TimeVaryingSIR 是基于历史观测反推参数后的描述性拟合/重构模型，不应与测试集预测模型直接比较。</w:t>
      </w:r>
    </w:p>
    <w:p>
      <w:pPr>
        <w:spacing w:line="360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4"/>
        </w:rPr>
        <w:t>dS/dt = -β(t)SI/N    （9）</w:t>
      </w:r>
    </w:p>
    <w:p>
      <w:pPr>
        <w:spacing w:line="360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4"/>
        </w:rPr>
        <w:t>dI/dt = β(t)SI/N - γ(t)I    （10）</w:t>
      </w:r>
    </w:p>
    <w:p>
      <w:pPr>
        <w:spacing w:line="360" w:lineRule="auto"/>
        <w:ind w:firstLine="0"/>
        <w:jc w:val="center"/>
      </w:pPr>
      <w:r>
        <w:rPr>
          <w:rFonts w:ascii="Cambria Math" w:hAnsi="Cambria Math" w:eastAsia="Cambria Math"/>
          <w:color w:val="000000"/>
          <w:sz w:val="24"/>
        </w:rPr>
        <w:t>R_t = β(t)/γ(t)    （11）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因此，若表中出现 R² 接近 1.000，并不表示模型拥有完美未来预测能力，而表示它在使用完整历史数据反推参数后能够高度贴合历史状态。该结果主要服务于解释传播强度的阶段性变化，而不是作为与 Naive、LinearRegression、RandomForest、GradientBoosting 同口径的测试集预测结果。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 6 时变参数 SIR 关键参数</w:t>
      </w:r>
    </w:p>
    <w:tbl>
      <w:tblPr>
        <w:tblStyle w:val="TableGrid"/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050"/>
        <w:gridCol w:w="1050"/>
        <w:gridCol w:w="800"/>
        <w:gridCol w:w="1150"/>
        <w:gridCol w:w="1150"/>
        <w:gridCol w:w="1300"/>
        <w:gridCol w:w="1300"/>
      </w:tblGrid>
      <w:tr>
        <w:tc>
          <w:tcPr>
            <w:tcW w:type="dxa" w:w="105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开始</w:t>
            </w:r>
          </w:p>
        </w:tc>
        <w:tc>
          <w:tcPr>
            <w:tcW w:type="dxa" w:w="105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结束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天数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平均β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平均γ</w:t>
            </w:r>
          </w:p>
        </w:tc>
        <w:tc>
          <w:tcPr>
            <w:tcW w:type="dxa" w:w="13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平均R0</w:t>
            </w:r>
          </w:p>
        </w:tc>
        <w:tc>
          <w:tcPr>
            <w:tcW w:type="dxa" w:w="13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期末R0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2020-01-22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2020-07-19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1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0.075</w:t>
            </w:r>
          </w:p>
        </w:tc>
        <w:tc>
          <w:tcPr>
            <w:tcW w:type="dxa" w:w="11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0.064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1.178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0.555</w:t>
            </w:r>
          </w:p>
        </w:tc>
      </w:tr>
    </w:tbl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49745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a_mainland_time_varying_sir_f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97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图 7 时变参数 SIR 历史重构结果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 7 时变参数 SIR 描述性重构指标</w:t>
      </w:r>
    </w:p>
    <w:tbl>
      <w:tblPr>
        <w:tblStyle w:val="TableGrid"/>
        <w:tblW w:type="dxa" w:w="860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1700"/>
        <w:gridCol w:w="2400"/>
        <w:gridCol w:w="1200"/>
        <w:gridCol w:w="1200"/>
        <w:gridCol w:w="900"/>
      </w:tblGrid>
      <w:tr>
        <w:tc>
          <w:tcPr>
            <w:tcW w:type="dxa" w:w="12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变量</w:t>
            </w:r>
          </w:p>
        </w:tc>
        <w:tc>
          <w:tcPr>
            <w:tcW w:type="dxa" w:w="17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模型</w:t>
            </w:r>
          </w:p>
        </w:tc>
        <w:tc>
          <w:tcPr>
            <w:tcW w:type="dxa" w:w="24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评价口径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RMSE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MAE</w:t>
            </w:r>
          </w:p>
        </w:tc>
        <w:tc>
          <w:tcPr>
            <w:tcW w:type="dxa" w:w="9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R²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active_infected</w:t>
            </w:r>
          </w:p>
        </w:tc>
        <w:tc>
          <w:tcPr>
            <w:tcW w:type="dxa" w:w="17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TimeVaryingSIR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descriptive_reconstruction</w:t>
            </w:r>
          </w:p>
        </w:tc>
        <w:tc>
          <w:tcPr>
            <w:tcW w:type="dxa" w:w="12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0.002</w:t>
            </w:r>
          </w:p>
        </w:tc>
        <w:tc>
          <w:tcPr>
            <w:tcW w:type="dxa" w:w="12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0.002</w:t>
            </w:r>
          </w:p>
        </w:tc>
        <w:tc>
          <w:tcPr>
            <w:tcW w:type="dxa" w:w="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1.000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removed</w:t>
            </w:r>
          </w:p>
        </w:tc>
        <w:tc>
          <w:tcPr>
            <w:tcW w:type="dxa" w:w="17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TimeVaryingSIR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descriptive_reconstruction</w:t>
            </w:r>
          </w:p>
        </w:tc>
        <w:tc>
          <w:tcPr>
            <w:tcW w:type="dxa" w:w="12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0.002</w:t>
            </w:r>
          </w:p>
        </w:tc>
        <w:tc>
          <w:tcPr>
            <w:tcW w:type="dxa" w:w="12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0.001</w:t>
            </w:r>
          </w:p>
        </w:tc>
        <w:tc>
          <w:tcPr>
            <w:tcW w:type="dxa" w:w="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1.000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confirmed</w:t>
            </w:r>
          </w:p>
        </w:tc>
        <w:tc>
          <w:tcPr>
            <w:tcW w:type="dxa" w:w="17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TimeVaryingSIR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descriptive_reconstruction</w:t>
            </w:r>
          </w:p>
        </w:tc>
        <w:tc>
          <w:tcPr>
            <w:tcW w:type="dxa" w:w="12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0.004</w:t>
            </w:r>
          </w:p>
        </w:tc>
        <w:tc>
          <w:tcPr>
            <w:tcW w:type="dxa" w:w="12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0.002</w:t>
            </w:r>
          </w:p>
        </w:tc>
        <w:tc>
          <w:tcPr>
            <w:tcW w:type="dxa" w:w="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1.000</w:t>
            </w:r>
          </w:p>
        </w:tc>
      </w:tr>
    </w:tbl>
    <w:p>
      <w:pPr>
        <w:pStyle w:val="Heading1"/>
      </w:pPr>
      <w:r/>
      <w:r>
        <w:rPr>
          <w:rFonts w:ascii="Times New Roman" w:hAnsi="Times New Roman" w:eastAsia="黑体"/>
          <w:b/>
          <w:color w:val="000000"/>
          <w:sz w:val="32"/>
        </w:rPr>
        <w:t>七、机器学习每日新增预测模型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机器学习部分以每日新增确诊、每日新增死亡和每日新增治愈为目标变量，构造滞后值、滚动均值、滚动中位数、滚动标准差、指数滑动均值、日期序号、星期和月份等特征。所有特征只使用预测日期之前的信息，避免未来信息泄露。未来多步预测采用递推方式：先预测第 1 天，再将预测值加入历史序列构造第 2 天特征。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本节不再只展示 GradientBoosting，而是同时比较 NaivePersistence、LinearRegression、RandomForest 和 GradientBoosting。其中 GradientBoosting 参数为 n_estimators=500、learning_rate=0.03、max_depth=2、random_state=42；RandomForest 使用 n_estimators=500、max_depth=10、random_state=42。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4872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a_mainland_confirmed_ml_test_predi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8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图 8 每日新增确诊测试集预测对比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4872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a_mainland_deaths_ml_test_predi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8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图 9 每日新增死亡测试集预测对比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 8 机器学习模型每日新增预测指标</w:t>
      </w:r>
    </w:p>
    <w:tbl>
      <w:tblPr>
        <w:tblStyle w:val="TableGrid"/>
        <w:tblW w:type="dxa" w:w="890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500"/>
        <w:gridCol w:w="800"/>
        <w:gridCol w:w="800"/>
        <w:gridCol w:w="1050"/>
        <w:gridCol w:w="1050"/>
        <w:gridCol w:w="1050"/>
        <w:gridCol w:w="1050"/>
        <w:gridCol w:w="750"/>
      </w:tblGrid>
      <w:tr>
        <w:tc>
          <w:tcPr>
            <w:tcW w:type="dxa" w:w="85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目标</w:t>
            </w:r>
          </w:p>
        </w:tc>
        <w:tc>
          <w:tcPr>
            <w:tcW w:type="dxa" w:w="15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模型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训练行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测试行</w:t>
            </w:r>
          </w:p>
        </w:tc>
        <w:tc>
          <w:tcPr>
            <w:tcW w:type="dxa" w:w="105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训练开始</w:t>
            </w:r>
          </w:p>
        </w:tc>
        <w:tc>
          <w:tcPr>
            <w:tcW w:type="dxa" w:w="105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测试开始</w:t>
            </w:r>
          </w:p>
        </w:tc>
        <w:tc>
          <w:tcPr>
            <w:tcW w:type="dxa" w:w="105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RMSE</w:t>
            </w:r>
          </w:p>
        </w:tc>
        <w:tc>
          <w:tcPr>
            <w:tcW w:type="dxa" w:w="105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MAE</w:t>
            </w:r>
          </w:p>
        </w:tc>
        <w:tc>
          <w:tcPr>
            <w:tcW w:type="dxa" w:w="75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R²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confirmed</w:t>
            </w:r>
          </w:p>
        </w:tc>
        <w:tc>
          <w:tcPr>
            <w:tcW w:type="dxa" w:w="15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NaivePersistence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892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2020-02-19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2022-07-30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1,380.615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440.296</w:t>
            </w:r>
          </w:p>
        </w:tc>
        <w:tc>
          <w:tcPr>
            <w:tcW w:type="dxa" w:w="7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0.576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confirmed</w:t>
            </w:r>
          </w:p>
        </w:tc>
        <w:tc>
          <w:tcPr>
            <w:tcW w:type="dxa" w:w="15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LinearRegression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892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2020-02-19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2022-07-30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1,584.703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675.978</w:t>
            </w:r>
          </w:p>
        </w:tc>
        <w:tc>
          <w:tcPr>
            <w:tcW w:type="dxa" w:w="7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0.442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confirmed</w:t>
            </w:r>
          </w:p>
        </w:tc>
        <w:tc>
          <w:tcPr>
            <w:tcW w:type="dxa" w:w="15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RandomForest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892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2020-02-19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2022-07-30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1,671.589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752.872</w:t>
            </w:r>
          </w:p>
        </w:tc>
        <w:tc>
          <w:tcPr>
            <w:tcW w:type="dxa" w:w="7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0.379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confirmed</w:t>
            </w:r>
          </w:p>
        </w:tc>
        <w:tc>
          <w:tcPr>
            <w:tcW w:type="dxa" w:w="15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GradientBoosting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892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2020-02-19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2022-07-30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1,891.984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794.834</w:t>
            </w:r>
          </w:p>
        </w:tc>
        <w:tc>
          <w:tcPr>
            <w:tcW w:type="dxa" w:w="7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0.205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deaths</w:t>
            </w:r>
          </w:p>
        </w:tc>
        <w:tc>
          <w:tcPr>
            <w:tcW w:type="dxa" w:w="15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NaivePersistence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892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2020-02-19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2022-07-30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0.898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0.224</w:t>
            </w:r>
          </w:p>
        </w:tc>
        <w:tc>
          <w:tcPr>
            <w:tcW w:type="dxa" w:w="7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-0.191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deaths</w:t>
            </w:r>
          </w:p>
        </w:tc>
        <w:tc>
          <w:tcPr>
            <w:tcW w:type="dxa" w:w="15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LinearRegression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892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2020-02-19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2022-07-30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1.637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0.631</w:t>
            </w:r>
          </w:p>
        </w:tc>
        <w:tc>
          <w:tcPr>
            <w:tcW w:type="dxa" w:w="7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-2.955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deaths</w:t>
            </w:r>
          </w:p>
        </w:tc>
        <w:tc>
          <w:tcPr>
            <w:tcW w:type="dxa" w:w="15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RandomForest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892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2020-02-19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2022-07-30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23.407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5.992</w:t>
            </w:r>
          </w:p>
        </w:tc>
        <w:tc>
          <w:tcPr>
            <w:tcW w:type="dxa" w:w="7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-807.637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deaths</w:t>
            </w:r>
          </w:p>
        </w:tc>
        <w:tc>
          <w:tcPr>
            <w:tcW w:type="dxa" w:w="15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GradientBoosting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892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223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2020-02-19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2022-07-30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0.850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0.211</w:t>
            </w:r>
          </w:p>
        </w:tc>
        <w:tc>
          <w:tcPr>
            <w:tcW w:type="dxa" w:w="7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-0.066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recovered</w:t>
            </w:r>
          </w:p>
        </w:tc>
        <w:tc>
          <w:tcPr>
            <w:tcW w:type="dxa" w:w="15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NaivePersistence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2020-02-19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2021-04-20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13.695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8.766</w:t>
            </w:r>
          </w:p>
        </w:tc>
        <w:tc>
          <w:tcPr>
            <w:tcW w:type="dxa" w:w="7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-0.966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recovered</w:t>
            </w:r>
          </w:p>
        </w:tc>
        <w:tc>
          <w:tcPr>
            <w:tcW w:type="dxa" w:w="15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LinearRegression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2020-02-19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2021-04-20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22.222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18.226</w:t>
            </w:r>
          </w:p>
        </w:tc>
        <w:tc>
          <w:tcPr>
            <w:tcW w:type="dxa" w:w="7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-4.177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recovered</w:t>
            </w:r>
          </w:p>
        </w:tc>
        <w:tc>
          <w:tcPr>
            <w:tcW w:type="dxa" w:w="15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RandomForest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2020-02-19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2021-04-20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10.148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6.996</w:t>
            </w:r>
          </w:p>
        </w:tc>
        <w:tc>
          <w:tcPr>
            <w:tcW w:type="dxa" w:w="7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-0.079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recovered</w:t>
            </w:r>
          </w:p>
        </w:tc>
        <w:tc>
          <w:tcPr>
            <w:tcW w:type="dxa" w:w="15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GradientBoosting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426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2020-02-19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2021-04-20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9.817</w:t>
            </w:r>
          </w:p>
        </w:tc>
        <w:tc>
          <w:tcPr>
            <w:tcW w:type="dxa" w:w="10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6.359</w:t>
            </w:r>
          </w:p>
        </w:tc>
        <w:tc>
          <w:tcPr>
            <w:tcW w:type="dxa" w:w="75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-0.010</w:t>
            </w:r>
          </w:p>
        </w:tc>
      </w:tr>
    </w:tbl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15222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a_mainland_ml_metrics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52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图 10 机器学习模型 RMSE、MAE、R² 对比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从指标看，confirmed 往往比 deaths 和 recovered 更适合做短期预测，因为确诊序列规模较大、可学习模式更多。deaths 单日数值较低时，少量波动就会造成较大的相对误差；recovered 还受到 2021-08-04 后停止可靠更新的影响，因此其 R² 可能为负。负 R² 并非程序错误，而是提示模型在该任务上不如简单均值基线。</w:t>
      </w:r>
    </w:p>
    <w:p>
      <w:pPr>
        <w:pStyle w:val="Heading1"/>
      </w:pPr>
      <w:r/>
      <w:r>
        <w:rPr>
          <w:rFonts w:ascii="Times New Roman" w:hAnsi="Times New Roman" w:eastAsia="黑体"/>
          <w:b/>
          <w:color w:val="000000"/>
          <w:sz w:val="32"/>
        </w:rPr>
        <w:t>八、同窗口舱室变量对比实验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为避免传统模型和机器学习模型比较对象不一致，本文补充同窗口舱室变量实验：将机器学习模型应用于 SIR 相同窗口内的 infected、removed 和 confirmed 三个变量。该实验仍按时间顺序划分训练集和测试集，用于观察机器学习模型在舱室变量上的外推能力。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结果中若 GradientBoosting 的 R² 为负，说明树模型在短窗口后段没有超过均值基线。这通常与样本窗口较短、舱室变量存在明显单调趋势、测试期分布偏离训练期有关。SIR 模型虽然假设较强，但舱室结构本身提供了机制约束；机器学习模型若缺少政策、人口流动、检测量等外生变量，容易在这类外推任务中表现不稳定。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49745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a_mainland_compartment_ml_test_predic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97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图 11 舱室变量同窗口机器学习测试集预测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 9 同窗口舱室变量机器学习指标</w:t>
      </w:r>
    </w:p>
    <w:tbl>
      <w:tblPr>
        <w:tblStyle w:val="TableGrid"/>
        <w:tblW w:type="dxa" w:w="8000"/>
        <w:jc w:val="center"/>
        <w:tblLayout w:type="fixed"/>
        <w:tblLook w:firstColumn="1" w:firstRow="1" w:lastColumn="0" w:lastRow="0" w:noHBand="0" w:noVBand="1" w:val="04A0"/>
      </w:tblPr>
      <w:tblGrid>
        <w:gridCol w:w="1000"/>
        <w:gridCol w:w="1700"/>
        <w:gridCol w:w="800"/>
        <w:gridCol w:w="800"/>
        <w:gridCol w:w="1400"/>
        <w:gridCol w:w="1400"/>
        <w:gridCol w:w="900"/>
      </w:tblGrid>
      <w:tr>
        <w:tc>
          <w:tcPr>
            <w:tcW w:type="dxa" w:w="10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目标</w:t>
            </w:r>
          </w:p>
        </w:tc>
        <w:tc>
          <w:tcPr>
            <w:tcW w:type="dxa" w:w="17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模型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训练行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测试行</w:t>
            </w:r>
          </w:p>
        </w:tc>
        <w:tc>
          <w:tcPr>
            <w:tcW w:type="dxa" w:w="14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RMSE</w:t>
            </w:r>
          </w:p>
        </w:tc>
        <w:tc>
          <w:tcPr>
            <w:tcW w:type="dxa" w:w="14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MAE</w:t>
            </w:r>
          </w:p>
        </w:tc>
        <w:tc>
          <w:tcPr>
            <w:tcW w:type="dxa" w:w="9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R²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infected</w:t>
            </w:r>
          </w:p>
        </w:tc>
        <w:tc>
          <w:tcPr>
            <w:tcW w:type="dxa" w:w="17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GradientBoosting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</w:t>
            </w:r>
          </w:p>
        </w:tc>
        <w:tc>
          <w:tcPr>
            <w:tcW w:type="dxa" w:w="1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111.962</w:t>
            </w:r>
          </w:p>
        </w:tc>
        <w:tc>
          <w:tcPr>
            <w:tcW w:type="dxa" w:w="1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101.844</w:t>
            </w:r>
          </w:p>
        </w:tc>
        <w:tc>
          <w:tcPr>
            <w:tcW w:type="dxa" w:w="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-2.783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removed</w:t>
            </w:r>
          </w:p>
        </w:tc>
        <w:tc>
          <w:tcPr>
            <w:tcW w:type="dxa" w:w="17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GradientBoosting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</w:t>
            </w:r>
          </w:p>
        </w:tc>
        <w:tc>
          <w:tcPr>
            <w:tcW w:type="dxa" w:w="1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215.993</w:t>
            </w:r>
          </w:p>
        </w:tc>
        <w:tc>
          <w:tcPr>
            <w:tcW w:type="dxa" w:w="1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178.433</w:t>
            </w:r>
          </w:p>
        </w:tc>
        <w:tc>
          <w:tcPr>
            <w:tcW w:type="dxa" w:w="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-2.300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confirmed</w:t>
            </w:r>
          </w:p>
        </w:tc>
        <w:tc>
          <w:tcPr>
            <w:tcW w:type="dxa" w:w="17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GradientBoosting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</w:t>
            </w:r>
          </w:p>
        </w:tc>
        <w:tc>
          <w:tcPr>
            <w:tcW w:type="dxa" w:w="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</w:t>
            </w:r>
          </w:p>
        </w:tc>
        <w:tc>
          <w:tcPr>
            <w:tcW w:type="dxa" w:w="1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288.929</w:t>
            </w:r>
          </w:p>
        </w:tc>
        <w:tc>
          <w:tcPr>
            <w:tcW w:type="dxa" w:w="1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276.260</w:t>
            </w:r>
          </w:p>
        </w:tc>
        <w:tc>
          <w:tcPr>
            <w:tcW w:type="dxa" w:w="9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-10.833</w:t>
            </w:r>
          </w:p>
        </w:tc>
      </w:tr>
    </w:tbl>
    <w:p>
      <w:pPr>
        <w:pStyle w:val="Heading1"/>
      </w:pPr>
      <w:r/>
      <w:r>
        <w:rPr>
          <w:rFonts w:ascii="Times New Roman" w:hAnsi="Times New Roman" w:eastAsia="黑体"/>
          <w:b/>
          <w:color w:val="000000"/>
          <w:sz w:val="32"/>
        </w:rPr>
        <w:t>九、未来 7 天和 14 天预测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未来预测以 confirmed 为正文重点，deaths 简要展示，recovered 不放入正文长表。原因是 recovered 的可靠更新时间截止于 2021-08-04，若继续外推，只能解释为可靠区间结束后的短期外推，不代表 2023 年真实治愈趋势。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73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a_mainland_confirmed_ml_future_7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图 12 每日新增确诊未来 7 天预测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73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a_mainland_confirmed_ml_future_14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图 13 每日新增确诊未来 14 天预测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 10 GradientBoosting 每日新增确诊未来 7 天预测</w:t>
      </w:r>
    </w:p>
    <w:tbl>
      <w:tblPr>
        <w:tblStyle w:val="TableGrid"/>
        <w:tblW w:type="dxa" w:w="660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1800"/>
        <w:gridCol w:w="2400"/>
      </w:tblGrid>
      <w:tr>
        <w:tc>
          <w:tcPr>
            <w:tcW w:type="dxa" w:w="24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预测天数</w:t>
            </w:r>
          </w:p>
        </w:tc>
        <w:tc>
          <w:tcPr>
            <w:tcW w:type="dxa" w:w="24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预测值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2023-03-10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25.94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2023-03-11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31.28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2023-03-12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37.78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2023-03-13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51.79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2023-03-14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55.75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2023-03-15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62.00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2023-03-16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73.75</w:t>
            </w:r>
          </w:p>
        </w:tc>
      </w:tr>
    </w:tbl>
    <w:p>
      <w:pPr>
        <w:spacing w:before="120" w:after="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 11 GradientBoosting 每日新增死亡未来 7 天预测</w:t>
      </w:r>
    </w:p>
    <w:tbl>
      <w:tblPr>
        <w:tblStyle w:val="TableGrid"/>
        <w:tblW w:type="dxa" w:w="660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1800"/>
        <w:gridCol w:w="2400"/>
      </w:tblGrid>
      <w:tr>
        <w:tc>
          <w:tcPr>
            <w:tcW w:type="dxa" w:w="24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预测天数</w:t>
            </w:r>
          </w:p>
        </w:tc>
        <w:tc>
          <w:tcPr>
            <w:tcW w:type="dxa" w:w="24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预测值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2023-03-10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2023-03-11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2023-03-12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2023-03-13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2023-03-14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2023-03-15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2023-03-16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</w:t>
            </w:r>
          </w:p>
        </w:tc>
      </w:tr>
    </w:tbl>
    <w:p>
      <w:pPr>
        <w:spacing w:before="120" w:after="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 12 GradientBoosting 每日新增确诊未来 14 天预测</w:t>
      </w:r>
    </w:p>
    <w:tbl>
      <w:tblPr>
        <w:tblStyle w:val="TableGrid"/>
        <w:tblW w:type="dxa" w:w="660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1800"/>
        <w:gridCol w:w="2400"/>
      </w:tblGrid>
      <w:tr>
        <w:tc>
          <w:tcPr>
            <w:tcW w:type="dxa" w:w="24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预测天数</w:t>
            </w:r>
          </w:p>
        </w:tc>
        <w:tc>
          <w:tcPr>
            <w:tcW w:type="dxa" w:w="24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预测值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2023-03-10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25.94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2023-03-11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31.28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2023-03-12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37.78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2023-03-13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51.79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2023-03-14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55.75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2023-03-15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62.00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2023-03-16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73.75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2023-03-17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78.56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2023-03-18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83.05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2023-03-19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80.32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2023-03-20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80.89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2023-03-21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79.48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2023-03-22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77.68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2023-03-23</w:t>
            </w:r>
          </w:p>
        </w:tc>
        <w:tc>
          <w:tcPr>
            <w:tcW w:type="dxa" w:w="18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2400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77.48</w:t>
            </w:r>
          </w:p>
        </w:tc>
      </w:tr>
    </w:tbl>
    <w:p>
      <w:pPr>
        <w:pStyle w:val="Heading1"/>
      </w:pPr>
      <w:r/>
      <w:r>
        <w:rPr>
          <w:rFonts w:ascii="Times New Roman" w:hAnsi="Times New Roman" w:eastAsia="黑体"/>
          <w:b/>
          <w:color w:val="000000"/>
          <w:sz w:val="32"/>
        </w:rPr>
        <w:t>十、模型对比分析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SIR 模型和机器学习模型回答的问题不同。固定参数 SIR 和时变参数 SIR 适合解释感染者、移除者和累计确诊之间的结构关系，能够把接触率、移除率和传播强度联系起来；机器学习模型更适合在近期历史模式延续的前提下预测每日新增。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从模型对比角度看，NaivePersistence 是最低基线。如果 LinearRegression、RandomForest 或 GradientBoosting 没有明显优于 Naive，说明复杂模型虽然参数更多，但未必能在当前测试窗口带来稳定收益。GradientBoosting 在 confirmed 上通常具备较强短期拟合能力，但在 deaths 和 recovered 上可能因为低计数波动、统计稀疏、停止更新或分布漂移而得到负 R²。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TimeVaryingSIR 的高 R² 不应与测试集预测模型并列解读。它使用历史信息反推 beta(t) 和 gamma(t)，本质上更接近历史重构；而机器学习指标来自时间顺序测试集，目标是检验未参与训练时期的预测效果。区分描述性拟合与预测性评估，是本次结果解释中最重要的修正。</w:t>
      </w:r>
    </w:p>
    <w:p>
      <w:pPr>
        <w:pStyle w:val="Heading1"/>
      </w:pPr>
      <w:r/>
      <w:r>
        <w:rPr>
          <w:rFonts w:ascii="Times New Roman" w:hAnsi="Times New Roman" w:eastAsia="黑体"/>
          <w:b/>
          <w:color w:val="000000"/>
          <w:sz w:val="32"/>
        </w:rPr>
        <w:t>十一、结论与不足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本研究完成了一个可运行、可复现的疫情传播建模流程：读取 JHU 真实数据，按中国大陆口径进行预处理，生成每日新增和区域趋势图，拟合固定参数 SIR 与时变参数 SIR，训练多个机器学习模型，并输出测试集指标、未来 7 天和 14 天预测、CSV 结果和 Word 论文。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不足主要包括四点：第一，JHU 数据存在历史修正、集中补报和 recovered 后期停止可靠更新问题；第二，模型未引入政策强度、检测量、人口流动和疫苗接种等外生变量；第三，未来预测采用递推策略，预测期越长误差累积风险越高；第四，省份 Top 10 只比较原始规模，没有进行人口标准化，不能直接解释为风险率。</w:t>
      </w:r>
    </w:p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>后续若继续改进，可在保持传统模型可解释性的基础上加入 SEIR 或 SEIQR 扩展模型，并引入更多外生变量；机器学习部分可继续比较 XGBoost、LSTM 或 GRU，但仍应保留 Naive 与线性模型作为判断复杂模型是否真正有效的参照。</w:t>
      </w:r>
    </w:p>
    <w:p>
      <w:pPr>
        <w:pStyle w:val="Heading1"/>
      </w:pPr>
      <w:r/>
      <w:r>
        <w:rPr>
          <w:rFonts w:ascii="Times New Roman" w:hAnsi="Times New Roman" w:eastAsia="黑体"/>
          <w:b/>
          <w:color w:val="000000"/>
          <w:sz w:val="32"/>
        </w:rPr>
        <w:t>参考文献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[1] Johns Hopkins University Center for Systems Science and Engineering. COVID-19 Data Repository by CSSE at Johns Hopkins University[DB/OL]. GitHub, 2020-2023. https://github.com/CSSEGISandData/COVID-19, 访问日期: 2026-06-22.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[2] Dong E, Du H, Gardner L. An interactive web-based dashboard to track COVID-19 in real time[J]. The Lancet Infectious Diseases, 2020, 20(5): 533-534.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[3] Kermack W O, McKendrick A G. A contribution to the mathematical theory of epidemics[J]. Proceedings of the Royal Society A, 1927, 115(772): 700-721.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[4] Hethcote H W. The mathematics of infectious diseases[J]. SIAM Review, 2000, 42(4): 599-653.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[5] Anderson R M, May R M. Infectious Diseases of Humans: Dynamics and Control[M]. Oxford: Oxford University Press, 1991.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[6] World Health Organization. Coronavirus disease (COVID-19) pandemic[EB/OL]. https://www.who.int/emergencies/diseases/novel-coronavirus-2019, 访问日期: 2026-06-22.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[7] Pedregosa F, Varoquaux G, Gramfort A, et al. Scikit-learn: Machine learning in Python[J]. Journal of Machine Learning Research, 2011, 12: 2825-2830.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[8] Friedman J H. Greedy function approximation: A gradient boosting machine[J]. Annals of Statistics, 2001, 29(5): 1189-1232.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[9] Hastie T, Tibshirani R, Friedman J. The Elements of Statistical Learning[M]. New York: Springer, 2009.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[10] Hyndman R J, Athanasopoulos G. Forecasting: Principles and Practice[M/OL]. OTexts, 2021. https://otexts.com/fpp3/, 访问日期: 2026-06-22.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[11] James G, Witten D, Hastie T, Tibshirani R. An Introduction to Statistical Learning[M]. New York: Springer, 2021.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[12] 中华人民共和国国家卫生健康委员会. 新型冠状病毒感染疫情防控相关公开资料[EB/OL]. http://www.nhc.gov.cn/xcs/yqtb/list_gzbd.shtml, 访问日期: 2026-06-22.</w:t>
      </w:r>
    </w:p>
    <w:p>
      <w:pPr>
        <w:pStyle w:val="Heading1"/>
      </w:pPr>
      <w:r/>
      <w:r>
        <w:rPr>
          <w:rFonts w:ascii="Times New Roman" w:hAnsi="Times New Roman" w:eastAsia="黑体"/>
          <w:b/>
          <w:color w:val="000000"/>
          <w:sz w:val="32"/>
        </w:rPr>
        <w:t>附录：核心代码说明</w:t>
      </w:r>
    </w:p>
    <w:p>
      <w:pPr>
        <w:spacing w:before="120" w:after="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1"/>
        </w:rPr>
        <w:t>表 13 核心脚本与功能说明</w:t>
      </w:r>
    </w:p>
    <w:tbl>
      <w:tblPr>
        <w:tblStyle w:val="TableGrid"/>
        <w:tblW w:type="dxa" w:w="880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5800"/>
      </w:tblGrid>
      <w:tr>
        <w:tc>
          <w:tcPr>
            <w:tcW w:type="dxa" w:w="30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脚本</w:t>
            </w:r>
          </w:p>
        </w:tc>
        <w:tc>
          <w:tcPr>
            <w:tcW w:type="dxa" w:w="5800"/>
            <w:shd w:fill="F2F2F2"/>
            <w:vAlign w:val="center"/>
          </w:tcPr>
          <w:p>
            <w:pPr>
              <w:spacing w:line="288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src/prepare_data.py</w:t>
            </w:r>
          </w:p>
        </w:tc>
        <w:tc>
          <w:tcPr>
            <w:tcW w:type="dxa" w:w="58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 JHU 数据，按中国大陆口径排除 Hong Kong、Macau、Taiwan、Unknown，生成聚合序列和省级面板。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src/run_regional_trends.py</w:t>
            </w:r>
          </w:p>
        </w:tc>
        <w:tc>
          <w:tcPr>
            <w:tcW w:type="dxa" w:w="58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生成累计趋势、每日新增趋势、省份趋势和 Top 10 省份图表。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src/run_sir.py</w:t>
            </w:r>
          </w:p>
        </w:tc>
        <w:tc>
          <w:tcPr>
            <w:tcW w:type="dxa" w:w="58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拟合固定参数 SIR，输出参数、指标和拟合图。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src/run_time_varying_sir.py</w:t>
            </w:r>
          </w:p>
        </w:tc>
        <w:tc>
          <w:tcPr>
            <w:tcW w:type="dxa" w:w="58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拟合时变参数 SIR，输出 beta(t)、gamma(t) 和历史重构指标。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src/run_ml.py</w:t>
            </w:r>
          </w:p>
        </w:tc>
        <w:tc>
          <w:tcPr>
            <w:tcW w:type="dxa" w:w="58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训练 Naive、LinearRegression、RandomForest、GradientBoosting，并输出测试集预测和未来预测。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src/run_compartment_ml.py</w:t>
            </w:r>
          </w:p>
        </w:tc>
        <w:tc>
          <w:tcPr>
            <w:tcW w:type="dxa" w:w="58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 SIR 同窗口内对 infected、removed、confirmed 做机器学习对比实验。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scripts/build_paper_docx_final.py</w:t>
            </w:r>
          </w:p>
        </w:tc>
        <w:tc>
          <w:tcPr>
            <w:tcW w:type="dxa" w:w="5800"/>
            <w:vAlign w:val="center"/>
          </w:tcPr>
          <w:p>
            <w:pPr>
              <w:spacing w:line="288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读取最新程序输出，生成符合课程论文格式的 Word 文档。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417" w:right="1417" w:bottom="1417" w:left="1417" w:header="850" w:footer="85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21"/>
      </w:rPr>
      <w:fldChar w:fldCharType="begin"/>
      <w:instrText xml:space="preserve">PAGE \* ROMAN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32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 w:before="0"/>
      <w:ind w:firstLine="480"/>
      <w:jc w:val="both"/>
    </w:pPr>
    <w:rPr>
      <w:rFonts w:ascii="Times New Roman" w:hAnsi="Times New Roman" w:eastAsia="宋体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