
<file path=[Content_Types].xml><?xml version="1.0" encoding="utf-8"?>
<Types xmlns="http://schemas.openxmlformats.org/package/2006/content-types">
  <Default Extension="wmf" ContentType="image/x-w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CFDC34">
      <w:pPr>
        <w:bidi w:val="0"/>
        <w:rPr>
          <w:rFonts w:hint="eastAsia"/>
        </w:rPr>
      </w:pPr>
      <w:r>
        <w:rPr>
          <w:rFonts w:hint="eastAsia" w:ascii="微软雅黑" w:hAnsi="微软雅黑" w:eastAsia="微软雅黑" w:cs="微软雅黑"/>
          <w:b/>
          <w:bCs/>
          <w:sz w:val="28"/>
          <w:szCs w:val="28"/>
        </w:rPr>
        <w:t>静态图</w:t>
      </w:r>
      <w:r>
        <w:rPr>
          <w:rFonts w:hint="eastAsia" w:ascii="微软雅黑" w:hAnsi="微软雅黑" w:eastAsia="微软雅黑" w:cs="微软雅黑"/>
          <w:b/>
          <w:bCs/>
          <w:sz w:val="28"/>
          <w:szCs w:val="28"/>
          <w:lang w:val="en-US" w:eastAsia="zh-CN"/>
        </w:rPr>
        <w:t>课堂笔记</w:t>
      </w:r>
    </w:p>
    <w:p w14:paraId="7B37186F">
      <w:pPr>
        <w:pStyle w:val="15"/>
        <w:numPr>
          <w:ilvl w:val="0"/>
          <w:numId w:val="1"/>
        </w:numPr>
        <w:ind w:firstLineChars="0"/>
        <w:rPr>
          <w:rFonts w:hint="eastAsia" w:ascii="微软雅黑" w:hAnsi="微软雅黑" w:eastAsia="微软雅黑" w:cs="微软雅黑"/>
          <w:b/>
          <w:sz w:val="24"/>
          <w:szCs w:val="21"/>
        </w:rPr>
      </w:pPr>
      <w:r>
        <w:rPr>
          <w:rFonts w:hint="eastAsia" w:ascii="微软雅黑" w:hAnsi="微软雅黑" w:eastAsia="微软雅黑" w:cs="微软雅黑"/>
          <w:b/>
          <w:sz w:val="24"/>
          <w:szCs w:val="21"/>
          <w:lang w:val="en-US" w:eastAsia="zh-CN"/>
        </w:rPr>
        <w:t>静态图特征</w:t>
      </w:r>
    </w:p>
    <w:p w14:paraId="78991582">
      <w:pPr>
        <w:pStyle w:val="15"/>
        <w:keepNext w:val="0"/>
        <w:keepLines w:val="0"/>
        <w:pageBreakBefore w:val="0"/>
        <w:widowControl w:val="0"/>
        <w:numPr>
          <w:ilvl w:val="0"/>
          <w:numId w:val="2"/>
        </w:numPr>
        <w:kinsoku/>
        <w:wordWrap/>
        <w:overflowPunct/>
        <w:topLinePunct w:val="0"/>
        <w:autoSpaceDE/>
        <w:autoSpaceDN/>
        <w:bidi w:val="0"/>
        <w:adjustRightInd/>
        <w:snapToGrid/>
        <w:spacing w:line="480" w:lineRule="exact"/>
        <w:ind w:left="420" w:leftChars="0" w:hanging="420" w:firstLineChars="0"/>
        <w:textAlignment w:val="auto"/>
        <w:rPr>
          <w:rFonts w:hint="eastAsia" w:ascii="微软雅黑" w:hAnsi="微软雅黑" w:eastAsia="微软雅黑" w:cs="微软雅黑"/>
          <w:b w:val="0"/>
          <w:bCs/>
          <w:sz w:val="21"/>
          <w:szCs w:val="18"/>
        </w:rPr>
      </w:pPr>
      <w:r>
        <w:rPr>
          <w:rFonts w:hint="eastAsia" w:ascii="微软雅黑" w:hAnsi="微软雅黑" w:eastAsia="微软雅黑" w:cs="微软雅黑"/>
          <w:b w:val="0"/>
          <w:bCs/>
          <w:sz w:val="21"/>
          <w:szCs w:val="18"/>
          <w:lang w:val="en-US" w:eastAsia="zh-CN"/>
        </w:rPr>
        <w:t>静态图特点</w:t>
      </w:r>
    </w:p>
    <w:p w14:paraId="3FA79FFC">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5"/>
        </w:rPr>
      </w:pPr>
      <w:r>
        <w:rPr>
          <w:rFonts w:hint="eastAsia" w:ascii="微软雅黑" w:hAnsi="微软雅黑" w:eastAsia="微软雅黑" w:cs="微软雅黑"/>
          <w:b w:val="0"/>
          <w:bCs/>
          <w:sz w:val="18"/>
          <w:szCs w:val="15"/>
        </w:rPr>
        <w:t>定义：通常指没有时间变化的数据图</w:t>
      </w:r>
    </w:p>
    <w:p w14:paraId="785930C0">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5"/>
        </w:rPr>
      </w:pPr>
      <w:r>
        <w:rPr>
          <w:rFonts w:hint="eastAsia" w:ascii="微软雅黑" w:hAnsi="微软雅黑" w:eastAsia="微软雅黑" w:cs="微软雅黑"/>
          <w:b w:val="0"/>
          <w:bCs/>
          <w:sz w:val="18"/>
          <w:szCs w:val="15"/>
        </w:rPr>
        <w:t>出现形式：柱图、饼图、表格</w:t>
      </w:r>
    </w:p>
    <w:p w14:paraId="06373757">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5"/>
        </w:rPr>
      </w:pPr>
      <w:r>
        <w:rPr>
          <w:rFonts w:hint="eastAsia" w:ascii="微软雅黑" w:hAnsi="微软雅黑" w:eastAsia="微软雅黑" w:cs="微软雅黑"/>
          <w:b w:val="0"/>
          <w:bCs/>
          <w:sz w:val="18"/>
          <w:szCs w:val="15"/>
        </w:rPr>
        <w:t>作用：用来比较数量大小的差异和多少</w:t>
      </w:r>
    </w:p>
    <w:p w14:paraId="01E2B9E3">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5"/>
        </w:rPr>
      </w:pPr>
      <w:r>
        <w:rPr>
          <w:rFonts w:hint="eastAsia" w:ascii="微软雅黑" w:hAnsi="微软雅黑" w:eastAsia="微软雅黑" w:cs="微软雅黑"/>
          <w:b w:val="0"/>
          <w:bCs/>
          <w:sz w:val="18"/>
          <w:szCs w:val="15"/>
        </w:rPr>
        <w:t>写作特点：对象多，适合归纳对比</w:t>
      </w:r>
    </w:p>
    <w:p w14:paraId="0825DDB7">
      <w:pPr>
        <w:pStyle w:val="15"/>
        <w:keepNext w:val="0"/>
        <w:keepLines w:val="0"/>
        <w:pageBreakBefore w:val="0"/>
        <w:widowControl w:val="0"/>
        <w:numPr>
          <w:ilvl w:val="0"/>
          <w:numId w:val="2"/>
        </w:numPr>
        <w:kinsoku/>
        <w:wordWrap/>
        <w:overflowPunct/>
        <w:topLinePunct w:val="0"/>
        <w:autoSpaceDE/>
        <w:autoSpaceDN/>
        <w:bidi w:val="0"/>
        <w:adjustRightInd/>
        <w:snapToGrid/>
        <w:spacing w:line="480" w:lineRule="exact"/>
        <w:ind w:left="420" w:leftChars="0" w:hanging="420" w:firstLineChars="0"/>
        <w:textAlignment w:val="auto"/>
        <w:rPr>
          <w:rFonts w:hint="eastAsia" w:ascii="微软雅黑" w:hAnsi="微软雅黑" w:eastAsia="微软雅黑" w:cs="微软雅黑"/>
          <w:b w:val="0"/>
          <w:bCs/>
          <w:sz w:val="22"/>
          <w:szCs w:val="20"/>
        </w:rPr>
      </w:pPr>
      <w:r>
        <w:rPr>
          <w:rFonts w:hint="eastAsia" w:ascii="微软雅黑" w:hAnsi="微软雅黑" w:eastAsia="微软雅黑" w:cs="微软雅黑"/>
          <w:b w:val="0"/>
          <w:bCs/>
          <w:sz w:val="22"/>
          <w:szCs w:val="20"/>
          <w:lang w:val="en-US" w:eastAsia="zh-CN"/>
        </w:rPr>
        <w:t>静态图特征分析方法</w:t>
      </w:r>
    </w:p>
    <w:p w14:paraId="4753B2C9">
      <w:pPr>
        <w:pStyle w:val="15"/>
        <w:keepNext w:val="0"/>
        <w:keepLines w:val="0"/>
        <w:pageBreakBefore w:val="0"/>
        <w:widowControl w:val="0"/>
        <w:numPr>
          <w:ilvl w:val="0"/>
          <w:numId w:val="3"/>
        </w:numPr>
        <w:kinsoku/>
        <w:wordWrap/>
        <w:overflowPunct/>
        <w:topLinePunct w:val="0"/>
        <w:autoSpaceDE/>
        <w:autoSpaceDN/>
        <w:bidi w:val="0"/>
        <w:adjustRightInd/>
        <w:snapToGrid/>
        <w:spacing w:line="480" w:lineRule="exact"/>
        <w:ind w:left="425" w:leftChars="0" w:hanging="425" w:firstLineChars="0"/>
        <w:textAlignment w:val="auto"/>
        <w:rPr>
          <w:rFonts w:hint="eastAsia" w:ascii="微软雅黑" w:hAnsi="微软雅黑" w:eastAsia="微软雅黑" w:cs="微软雅黑"/>
          <w:b w:val="0"/>
          <w:bCs/>
          <w:sz w:val="20"/>
          <w:szCs w:val="16"/>
        </w:rPr>
      </w:pPr>
      <w:r>
        <w:rPr>
          <w:rFonts w:hint="eastAsia" w:ascii="微软雅黑" w:hAnsi="微软雅黑" w:eastAsia="微软雅黑" w:cs="微软雅黑"/>
          <w:b w:val="0"/>
          <w:bCs/>
          <w:sz w:val="20"/>
          <w:szCs w:val="16"/>
        </w:rPr>
        <w:t>极大值&amp;极小值</w:t>
      </w:r>
    </w:p>
    <w:p w14:paraId="74DA394D">
      <w:pPr>
        <w:pStyle w:val="15"/>
        <w:keepNext w:val="0"/>
        <w:keepLines w:val="0"/>
        <w:pageBreakBefore w:val="0"/>
        <w:widowControl w:val="0"/>
        <w:numPr>
          <w:ilvl w:val="0"/>
          <w:numId w:val="3"/>
        </w:numPr>
        <w:kinsoku/>
        <w:wordWrap/>
        <w:overflowPunct/>
        <w:topLinePunct w:val="0"/>
        <w:autoSpaceDE/>
        <w:autoSpaceDN/>
        <w:bidi w:val="0"/>
        <w:adjustRightInd/>
        <w:snapToGrid/>
        <w:spacing w:line="480" w:lineRule="exact"/>
        <w:ind w:left="425" w:leftChars="0" w:hanging="425" w:firstLineChars="0"/>
        <w:textAlignment w:val="auto"/>
        <w:rPr>
          <w:rFonts w:hint="eastAsia" w:ascii="微软雅黑" w:hAnsi="微软雅黑" w:eastAsia="微软雅黑" w:cs="微软雅黑"/>
          <w:b w:val="0"/>
          <w:bCs/>
          <w:sz w:val="20"/>
          <w:szCs w:val="16"/>
        </w:rPr>
      </w:pPr>
      <w:r>
        <w:rPr>
          <w:rFonts w:hint="eastAsia" w:ascii="微软雅黑" w:hAnsi="微软雅黑" w:eastAsia="微软雅黑" w:cs="微软雅黑"/>
          <w:b w:val="0"/>
          <w:bCs/>
          <w:sz w:val="20"/>
          <w:szCs w:val="16"/>
        </w:rPr>
        <w:t>大小关系比较</w:t>
      </w:r>
    </w:p>
    <w:p w14:paraId="611638D1">
      <w:pPr>
        <w:pStyle w:val="15"/>
        <w:keepNext w:val="0"/>
        <w:keepLines w:val="0"/>
        <w:pageBreakBefore w:val="0"/>
        <w:widowControl w:val="0"/>
        <w:numPr>
          <w:ilvl w:val="0"/>
          <w:numId w:val="4"/>
        </w:numPr>
        <w:kinsoku/>
        <w:wordWrap/>
        <w:overflowPunct/>
        <w:topLinePunct w:val="0"/>
        <w:autoSpaceDE/>
        <w:autoSpaceDN/>
        <w:bidi w:val="0"/>
        <w:adjustRightInd/>
        <w:snapToGrid/>
        <w:spacing w:line="480" w:lineRule="exact"/>
        <w:ind w:left="420" w:leftChars="0" w:hanging="420" w:firstLineChars="0"/>
        <w:textAlignment w:val="auto"/>
        <w:rPr>
          <w:rFonts w:hint="eastAsia" w:ascii="微软雅黑" w:hAnsi="微软雅黑" w:eastAsia="微软雅黑" w:cs="微软雅黑"/>
          <w:b w:val="0"/>
          <w:bCs/>
          <w:sz w:val="20"/>
          <w:szCs w:val="16"/>
        </w:rPr>
      </w:pPr>
      <w:r>
        <w:rPr>
          <w:rFonts w:hint="eastAsia" w:ascii="微软雅黑" w:hAnsi="微软雅黑" w:eastAsia="微软雅黑" w:cs="微软雅黑"/>
          <w:b w:val="0"/>
          <w:bCs/>
          <w:sz w:val="20"/>
          <w:szCs w:val="16"/>
        </w:rPr>
        <w:t>呈现差异对比</w:t>
      </w:r>
    </w:p>
    <w:p w14:paraId="6663904E">
      <w:pPr>
        <w:pStyle w:val="15"/>
        <w:numPr>
          <w:ilvl w:val="0"/>
          <w:numId w:val="0"/>
        </w:numPr>
        <w:ind w:leftChars="0"/>
      </w:pPr>
      <w:r>
        <w:drawing>
          <wp:inline distT="0" distB="0" distL="114300" distR="114300">
            <wp:extent cx="2228215" cy="1471930"/>
            <wp:effectExtent l="42545" t="4445" r="53340" b="85725"/>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228215" cy="1471930"/>
                    </a:xfrm>
                    <a:prstGeom prst="rect">
                      <a:avLst/>
                    </a:prstGeom>
                    <a:effectLst>
                      <a:outerShdw blurRad="50800" dist="38100" dir="5400000" algn="t" rotWithShape="0">
                        <a:prstClr val="black">
                          <a:alpha val="40000"/>
                        </a:prstClr>
                      </a:outerShdw>
                    </a:effectLst>
                  </pic:spPr>
                </pic:pic>
              </a:graphicData>
            </a:graphic>
          </wp:inline>
        </w:drawing>
      </w:r>
    </w:p>
    <w:p w14:paraId="0ED54B58">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Holly医院病房在所有参考类别中得分最高；然而Maple医院病房在所有参考类型中得分最低</w:t>
      </w:r>
    </w:p>
    <w:p w14:paraId="6FE34B88">
      <w:pPr>
        <w:pStyle w:val="15"/>
        <w:numPr>
          <w:ilvl w:val="0"/>
          <w:numId w:val="0"/>
        </w:numPr>
        <w:ind w:leftChars="0"/>
      </w:pPr>
      <w:r>
        <w:drawing>
          <wp:inline distT="0" distB="0" distL="114300" distR="114300">
            <wp:extent cx="2059940" cy="1231900"/>
            <wp:effectExtent l="0" t="0" r="16510" b="635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5"/>
                    <a:stretch>
                      <a:fillRect/>
                    </a:stretch>
                  </pic:blipFill>
                  <pic:spPr>
                    <a:xfrm flipH="1">
                      <a:off x="0" y="0"/>
                      <a:ext cx="2059940" cy="1231900"/>
                    </a:xfrm>
                    <a:prstGeom prst="rect">
                      <a:avLst/>
                    </a:prstGeom>
                  </pic:spPr>
                </pic:pic>
              </a:graphicData>
            </a:graphic>
          </wp:inline>
        </w:drawing>
      </w:r>
    </w:p>
    <w:p w14:paraId="2E0F9049">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sz w:val="22"/>
          <w:szCs w:val="22"/>
        </w:rPr>
      </w:pPr>
      <w:r>
        <w:rPr>
          <w:rFonts w:hint="eastAsia" w:ascii="微软雅黑" w:hAnsi="微软雅黑" w:eastAsia="微软雅黑" w:cs="微软雅黑"/>
          <w:sz w:val="18"/>
          <w:szCs w:val="18"/>
        </w:rPr>
        <w:t>在英国、瑞典和意大利，移动电话的使用人数比固化使用人数高，然而加拿大、美国和丹麦情况相反。</w:t>
      </w:r>
    </w:p>
    <w:p w14:paraId="2349558D">
      <w:pPr>
        <w:pStyle w:val="15"/>
        <w:numPr>
          <w:ilvl w:val="0"/>
          <w:numId w:val="0"/>
        </w:numPr>
        <w:ind w:leftChars="0"/>
        <w:rPr>
          <w:rFonts w:hint="eastAsia"/>
        </w:rPr>
      </w:pPr>
    </w:p>
    <w:p w14:paraId="136839FD">
      <w:pPr>
        <w:pStyle w:val="15"/>
        <w:numPr>
          <w:ilvl w:val="0"/>
          <w:numId w:val="1"/>
        </w:numPr>
        <w:ind w:firstLineChars="0"/>
        <w:rPr>
          <w:rFonts w:hint="eastAsia" w:ascii="微软雅黑" w:hAnsi="微软雅黑" w:eastAsia="微软雅黑" w:cs="微软雅黑"/>
          <w:b/>
          <w:sz w:val="24"/>
          <w:szCs w:val="21"/>
        </w:rPr>
      </w:pPr>
      <w:r>
        <w:rPr>
          <w:rFonts w:hint="eastAsia" w:ascii="微软雅黑" w:hAnsi="微软雅黑" w:eastAsia="微软雅黑" w:cs="微软雅黑"/>
          <w:b/>
          <w:sz w:val="24"/>
          <w:szCs w:val="21"/>
          <w:lang w:val="en-US" w:eastAsia="zh-CN"/>
        </w:rPr>
        <w:t>静态图分组</w:t>
      </w:r>
    </w:p>
    <w:p w14:paraId="125FCBBF">
      <w:pPr>
        <w:pStyle w:val="15"/>
        <w:keepNext w:val="0"/>
        <w:keepLines w:val="0"/>
        <w:pageBreakBefore w:val="0"/>
        <w:widowControl w:val="0"/>
        <w:numPr>
          <w:ilvl w:val="0"/>
          <w:numId w:val="5"/>
        </w:numPr>
        <w:kinsoku/>
        <w:wordWrap/>
        <w:overflowPunct/>
        <w:topLinePunct w:val="0"/>
        <w:autoSpaceDE/>
        <w:autoSpaceDN/>
        <w:bidi w:val="0"/>
        <w:adjustRightInd/>
        <w:snapToGrid/>
        <w:spacing w:line="480" w:lineRule="exact"/>
        <w:ind w:left="425" w:leftChars="0" w:hanging="425" w:firstLineChars="0"/>
        <w:textAlignment w:val="auto"/>
        <w:rPr>
          <w:rFonts w:hint="eastAsia" w:ascii="微软雅黑" w:hAnsi="微软雅黑" w:eastAsia="微软雅黑" w:cs="微软雅黑"/>
          <w:b w:val="0"/>
          <w:bCs/>
          <w:sz w:val="18"/>
          <w:szCs w:val="15"/>
        </w:rPr>
      </w:pPr>
      <w:r>
        <w:rPr>
          <w:rFonts w:hint="eastAsia" w:ascii="微软雅黑" w:hAnsi="微软雅黑" w:eastAsia="微软雅黑" w:cs="微软雅黑"/>
          <w:b w:val="0"/>
          <w:bCs/>
          <w:sz w:val="18"/>
          <w:szCs w:val="15"/>
        </w:rPr>
        <w:t>按总体大小特征分段</w:t>
      </w:r>
      <w:r>
        <w:rPr>
          <w:rFonts w:hint="eastAsia" w:ascii="微软雅黑" w:hAnsi="微软雅黑" w:eastAsia="微软雅黑" w:cs="微软雅黑"/>
          <w:b w:val="0"/>
          <w:bCs/>
          <w:sz w:val="18"/>
          <w:szCs w:val="15"/>
          <w:lang w:eastAsia="zh-CN"/>
        </w:rPr>
        <w:t>：</w:t>
      </w:r>
      <w:r>
        <w:rPr>
          <w:rFonts w:hint="eastAsia" w:ascii="微软雅黑" w:hAnsi="微软雅黑" w:eastAsia="微软雅黑" w:cs="微软雅黑"/>
          <w:b w:val="0"/>
          <w:bCs/>
          <w:sz w:val="18"/>
          <w:szCs w:val="15"/>
        </w:rPr>
        <w:t>数值大小分组归纳</w:t>
      </w:r>
    </w:p>
    <w:p w14:paraId="2F4D06D4">
      <w:pPr>
        <w:pStyle w:val="15"/>
        <w:keepNext w:val="0"/>
        <w:keepLines w:val="0"/>
        <w:pageBreakBefore w:val="0"/>
        <w:widowControl w:val="0"/>
        <w:numPr>
          <w:ilvl w:val="0"/>
          <w:numId w:val="5"/>
        </w:numPr>
        <w:kinsoku/>
        <w:wordWrap/>
        <w:overflowPunct/>
        <w:topLinePunct w:val="0"/>
        <w:autoSpaceDE/>
        <w:autoSpaceDN/>
        <w:bidi w:val="0"/>
        <w:adjustRightInd/>
        <w:snapToGrid/>
        <w:spacing w:line="480" w:lineRule="exact"/>
        <w:ind w:left="425" w:leftChars="0" w:hanging="425" w:firstLineChars="0"/>
        <w:textAlignment w:val="auto"/>
        <w:rPr>
          <w:rFonts w:hint="eastAsia" w:ascii="微软雅黑" w:hAnsi="微软雅黑" w:eastAsia="微软雅黑" w:cs="微软雅黑"/>
          <w:b w:val="0"/>
          <w:bCs/>
          <w:sz w:val="18"/>
          <w:szCs w:val="15"/>
        </w:rPr>
      </w:pPr>
      <w:r>
        <w:rPr>
          <w:rFonts w:hint="eastAsia" w:ascii="微软雅黑" w:hAnsi="微软雅黑" w:eastAsia="微软雅黑" w:cs="微软雅黑"/>
          <w:b w:val="0"/>
          <w:bCs/>
          <w:sz w:val="18"/>
          <w:szCs w:val="15"/>
        </w:rPr>
        <w:t>按数值差异化分段</w:t>
      </w:r>
      <w:r>
        <w:rPr>
          <w:rFonts w:hint="eastAsia" w:ascii="微软雅黑" w:hAnsi="微软雅黑" w:eastAsia="微软雅黑" w:cs="微软雅黑"/>
          <w:b w:val="0"/>
          <w:bCs/>
          <w:sz w:val="18"/>
          <w:szCs w:val="15"/>
          <w:lang w:eastAsia="zh-CN"/>
        </w:rPr>
        <w:t>：</w:t>
      </w:r>
      <w:r>
        <w:rPr>
          <w:rFonts w:hint="eastAsia" w:ascii="微软雅黑" w:hAnsi="微软雅黑" w:eastAsia="微软雅黑" w:cs="微软雅黑"/>
          <w:b w:val="0"/>
          <w:bCs/>
          <w:sz w:val="18"/>
          <w:szCs w:val="15"/>
        </w:rPr>
        <w:t>按不同的数值特征划分</w:t>
      </w:r>
    </w:p>
    <w:p w14:paraId="764DEEC6">
      <w:pPr>
        <w:pStyle w:val="15"/>
        <w:numPr>
          <w:ilvl w:val="0"/>
          <w:numId w:val="0"/>
        </w:numPr>
        <w:ind w:leftChars="0"/>
      </w:pPr>
      <w:r>
        <w:drawing>
          <wp:inline distT="0" distB="0" distL="114300" distR="114300">
            <wp:extent cx="2352040" cy="1467485"/>
            <wp:effectExtent l="0" t="0" r="10160" b="1841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6"/>
                    <a:stretch>
                      <a:fillRect/>
                    </a:stretch>
                  </pic:blipFill>
                  <pic:spPr>
                    <a:xfrm>
                      <a:off x="0" y="0"/>
                      <a:ext cx="2352040" cy="1467485"/>
                    </a:xfrm>
                    <a:prstGeom prst="rect">
                      <a:avLst/>
                    </a:prstGeom>
                    <a:noFill/>
                    <a:ln>
                      <a:noFill/>
                    </a:ln>
                  </pic:spPr>
                </pic:pic>
              </a:graphicData>
            </a:graphic>
          </wp:inline>
        </w:drawing>
      </w:r>
      <w:r>
        <w:drawing>
          <wp:inline distT="0" distB="0" distL="114300" distR="114300">
            <wp:extent cx="2538730" cy="1581150"/>
            <wp:effectExtent l="0" t="0" r="1397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7"/>
                    <a:stretch>
                      <a:fillRect/>
                    </a:stretch>
                  </pic:blipFill>
                  <pic:spPr>
                    <a:xfrm>
                      <a:off x="0" y="0"/>
                      <a:ext cx="2538730" cy="1581150"/>
                    </a:xfrm>
                    <a:prstGeom prst="rect">
                      <a:avLst/>
                    </a:prstGeom>
                    <a:noFill/>
                    <a:ln>
                      <a:noFill/>
                    </a:ln>
                  </pic:spPr>
                </pic:pic>
              </a:graphicData>
            </a:graphic>
          </wp:inline>
        </w:drawing>
      </w:r>
    </w:p>
    <w:p w14:paraId="637E1B82">
      <w:pPr>
        <w:pStyle w:val="15"/>
        <w:numPr>
          <w:ilvl w:val="0"/>
          <w:numId w:val="0"/>
        </w:numPr>
        <w:ind w:leftChars="0"/>
        <w:rPr>
          <w:rFonts w:hint="eastAsia"/>
        </w:rPr>
      </w:pPr>
    </w:p>
    <w:p w14:paraId="4F9D80C8">
      <w:pPr>
        <w:pStyle w:val="15"/>
        <w:numPr>
          <w:ilvl w:val="0"/>
          <w:numId w:val="1"/>
        </w:numPr>
        <w:ind w:firstLineChars="0"/>
        <w:rPr>
          <w:rFonts w:hint="eastAsia" w:ascii="微软雅黑" w:hAnsi="微软雅黑" w:eastAsia="微软雅黑" w:cs="微软雅黑"/>
          <w:b/>
          <w:sz w:val="24"/>
          <w:szCs w:val="21"/>
        </w:rPr>
      </w:pPr>
      <w:r>
        <w:rPr>
          <w:rFonts w:hint="eastAsia" w:ascii="微软雅黑" w:hAnsi="微软雅黑" w:eastAsia="微软雅黑" w:cs="微软雅黑"/>
          <w:b/>
          <w:sz w:val="24"/>
          <w:szCs w:val="21"/>
          <w:lang w:val="en-US" w:eastAsia="zh-CN"/>
        </w:rPr>
        <w:t>静态图必备表达</w:t>
      </w:r>
    </w:p>
    <w:p w14:paraId="148617CC">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sz w:val="18"/>
          <w:szCs w:val="18"/>
        </w:rPr>
        <w:t>静态图数据会以百分比形式呈现。 关于百分比，考生需要有以下的表达储备：</w:t>
      </w:r>
    </w:p>
    <w:p w14:paraId="57BB577E">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color w:val="0000FF"/>
          <w:sz w:val="18"/>
          <w:szCs w:val="18"/>
        </w:rPr>
        <w:t>1. 表示比例：</w:t>
      </w:r>
      <w:r>
        <w:rPr>
          <w:rFonts w:hint="eastAsia" w:ascii="微软雅黑" w:hAnsi="微软雅黑" w:eastAsia="微软雅黑" w:cs="微软雅黑"/>
          <w:b w:val="0"/>
          <w:bCs/>
          <w:sz w:val="18"/>
          <w:szCs w:val="18"/>
        </w:rPr>
        <w:t xml:space="preserve">proportion; percentage; </w:t>
      </w:r>
    </w:p>
    <w:p w14:paraId="0BF11CE6">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color w:val="0000FF"/>
          <w:sz w:val="18"/>
          <w:szCs w:val="18"/>
        </w:rPr>
      </w:pPr>
      <w:r>
        <w:rPr>
          <w:rFonts w:hint="eastAsia" w:ascii="微软雅黑" w:hAnsi="微软雅黑" w:eastAsia="微软雅黑" w:cs="微软雅黑"/>
          <w:b w:val="0"/>
          <w:bCs/>
          <w:color w:val="0000FF"/>
          <w:sz w:val="18"/>
          <w:szCs w:val="18"/>
        </w:rPr>
        <w:t>2. 表示大量/少数：</w:t>
      </w:r>
    </w:p>
    <w:p w14:paraId="3245A3EC">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sz w:val="18"/>
          <w:szCs w:val="18"/>
        </w:rPr>
        <w:t xml:space="preserve">大量：the majority of; a significant/the vast/the overwhelming majority of; the bulk of; </w:t>
      </w:r>
    </w:p>
    <w:p w14:paraId="41212F0E">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sz w:val="18"/>
          <w:szCs w:val="18"/>
        </w:rPr>
        <w:t xml:space="preserve">少数：a small/tiny minority of; a small fraction of; </w:t>
      </w:r>
    </w:p>
    <w:p w14:paraId="6BD93EC3">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sz w:val="18"/>
          <w:szCs w:val="18"/>
        </w:rPr>
        <w:t>e.g. The majority of students showed interest in football, with over 80%.</w:t>
      </w:r>
    </w:p>
    <w:p w14:paraId="491BD7D9">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color w:val="0000FF"/>
          <w:sz w:val="18"/>
          <w:szCs w:val="18"/>
        </w:rPr>
        <w:t>3. 表示占据、构成</w:t>
      </w:r>
      <w:r>
        <w:rPr>
          <w:rFonts w:hint="eastAsia" w:ascii="微软雅黑" w:hAnsi="微软雅黑" w:eastAsia="微软雅黑" w:cs="微软雅黑"/>
          <w:b w:val="0"/>
          <w:bCs/>
          <w:sz w:val="18"/>
          <w:szCs w:val="18"/>
        </w:rPr>
        <w:t>：constitute/comprise/account for/make up</w:t>
      </w:r>
    </w:p>
    <w:p w14:paraId="494794D9">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sz w:val="18"/>
          <w:szCs w:val="18"/>
        </w:rPr>
        <w:t>e.g. Clearly, fossil fuels constituted the bulk of energy used for producing electricity, with over 70 percent.</w:t>
      </w:r>
    </w:p>
    <w:p w14:paraId="5DED209D">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sz w:val="18"/>
          <w:szCs w:val="18"/>
        </w:rPr>
        <w:t>e.g. People of Irish background now comprise 10% of the inhabitants in Islip.</w:t>
      </w:r>
    </w:p>
    <w:p w14:paraId="6C9361AC">
      <w:pPr>
        <w:pStyle w:val="15"/>
        <w:numPr>
          <w:ilvl w:val="0"/>
          <w:numId w:val="0"/>
        </w:numPr>
        <w:ind w:leftChars="0"/>
        <w:rPr>
          <w:rFonts w:hint="eastAsia" w:ascii="微软雅黑" w:hAnsi="微软雅黑" w:eastAsia="微软雅黑" w:cs="微软雅黑"/>
          <w:b w:val="0"/>
          <w:bCs/>
          <w:sz w:val="21"/>
          <w:szCs w:val="18"/>
        </w:rPr>
      </w:pPr>
    </w:p>
    <w:p w14:paraId="5C3C6D94">
      <w:pPr>
        <w:pStyle w:val="15"/>
        <w:numPr>
          <w:ilvl w:val="0"/>
          <w:numId w:val="1"/>
        </w:numPr>
        <w:ind w:firstLineChars="0"/>
        <w:rPr>
          <w:rFonts w:hint="eastAsia" w:ascii="微软雅黑" w:hAnsi="微软雅黑" w:eastAsia="微软雅黑" w:cs="微软雅黑"/>
          <w:b/>
          <w:sz w:val="24"/>
          <w:szCs w:val="21"/>
        </w:rPr>
      </w:pPr>
      <w:r>
        <w:rPr>
          <w:rFonts w:hint="eastAsia" w:ascii="微软雅黑" w:hAnsi="微软雅黑" w:eastAsia="微软雅黑" w:cs="微软雅黑"/>
          <w:b/>
          <w:sz w:val="24"/>
          <w:szCs w:val="21"/>
          <w:lang w:val="en-US" w:eastAsia="zh-CN"/>
        </w:rPr>
        <w:t>主体段写作方法</w:t>
      </w:r>
    </w:p>
    <w:p w14:paraId="3446B7E7">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color w:val="0000FF"/>
          <w:sz w:val="18"/>
          <w:szCs w:val="18"/>
        </w:rPr>
      </w:pPr>
      <w:r>
        <w:rPr>
          <w:rFonts w:hint="eastAsia" w:ascii="微软雅黑" w:hAnsi="微软雅黑" w:eastAsia="微软雅黑" w:cs="微软雅黑"/>
          <w:b w:val="0"/>
          <w:bCs/>
          <w:color w:val="0000FF"/>
          <w:sz w:val="18"/>
          <w:szCs w:val="18"/>
        </w:rPr>
        <w:t>重点数据：</w:t>
      </w:r>
    </w:p>
    <w:p w14:paraId="21240416">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sz w:val="18"/>
          <w:szCs w:val="18"/>
        </w:rPr>
        <w:t>最大(若有两个明显大，而且数值相似，可摘取近似值)、第二大（当第二大数值比较明显时）、最小、相同、倍数（当倍数特征比较明显时, 如 2 倍或 3 倍）。</w:t>
      </w:r>
    </w:p>
    <w:p w14:paraId="0AF01785">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r>
        <w:rPr>
          <w:rFonts w:hint="eastAsia" w:ascii="微软雅黑" w:hAnsi="微软雅黑" w:eastAsia="微软雅黑" w:cs="微软雅黑"/>
          <w:b w:val="0"/>
          <w:bCs/>
          <w:color w:val="0000FF"/>
          <w:sz w:val="18"/>
          <w:szCs w:val="18"/>
        </w:rPr>
        <w:t>其他的非重点数据</w:t>
      </w:r>
      <w:r>
        <w:rPr>
          <w:rFonts w:hint="eastAsia" w:ascii="微软雅黑" w:hAnsi="微软雅黑" w:eastAsia="微软雅黑" w:cs="微软雅黑"/>
          <w:b w:val="0"/>
          <w:bCs/>
          <w:sz w:val="18"/>
          <w:szCs w:val="18"/>
        </w:rPr>
        <w:t>，通常可以采取下列方式对待：比较级比较、合并排序、区间。</w:t>
      </w:r>
    </w:p>
    <w:p w14:paraId="3A86CA1A">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b w:val="0"/>
          <w:bCs/>
          <w:sz w:val="18"/>
          <w:szCs w:val="18"/>
        </w:rPr>
      </w:pPr>
    </w:p>
    <w:p w14:paraId="2D51A432">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表达最大：</w:t>
      </w:r>
    </w:p>
    <w:p w14:paraId="221E81C7">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rank/take top/first</w:t>
      </w:r>
    </w:p>
    <w:p w14:paraId="6E69B54E">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be the most popular/favorable/preferred</w:t>
      </w:r>
    </w:p>
    <w:p w14:paraId="78FCC10B">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the largest number/percentage of sth.</w:t>
      </w:r>
    </w:p>
    <w:p w14:paraId="48A1ED87">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表达最小：</w:t>
      </w:r>
    </w:p>
    <w:p w14:paraId="5E967C92">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the lowest ranked/listed is/are sth.</w:t>
      </w:r>
    </w:p>
    <w:p w14:paraId="6C94F959">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in the lowest position is/are sth.</w:t>
      </w:r>
    </w:p>
    <w:p w14:paraId="2BE12159">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be the least popular/ favorable/ preferred</w:t>
      </w:r>
    </w:p>
    <w:p w14:paraId="46AE3CC6">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be recorded as the lowest number/amount of</w:t>
      </w:r>
    </w:p>
    <w:p w14:paraId="7F352F00">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p>
    <w:p w14:paraId="7E115E0A">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表达数值相同：</w:t>
      </w:r>
    </w:p>
    <w:p w14:paraId="68300986">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The figure for X is identical to that of Y</w:t>
      </w:r>
    </w:p>
    <w:p w14:paraId="64D17249">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 is matched by/is equaled by Y</w:t>
      </w:r>
    </w:p>
    <w:p w14:paraId="6954C8F2">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 and Y have exactly the same numbers</w:t>
      </w:r>
    </w:p>
    <w:p w14:paraId="6A66DFA5">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p>
    <w:p w14:paraId="6394A163">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表达第二大：</w:t>
      </w:r>
    </w:p>
    <w:p w14:paraId="7B994DFB">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be the second highest/ largest/ greatest</w:t>
      </w:r>
    </w:p>
    <w:p w14:paraId="772EFD77">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share/enjoy the second most popularity</w:t>
      </w:r>
    </w:p>
    <w:p w14:paraId="6E3832BA">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p>
    <w:p w14:paraId="3A479BDA">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表达排序：</w:t>
      </w:r>
    </w:p>
    <w:p w14:paraId="4D89F5B1">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 . It/This is followed by Y which ...</w:t>
      </w:r>
    </w:p>
    <w:p w14:paraId="28CDC1B0">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 followed by Y which....</w:t>
      </w:r>
    </w:p>
    <w:p w14:paraId="3B5EE555">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 ...., with Y coming next</w:t>
      </w:r>
    </w:p>
    <w:p w14:paraId="7D756147">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Y follows closely behind</w:t>
      </w:r>
    </w:p>
    <w:p w14:paraId="0EEB6242">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Y follows at a distance</w:t>
      </w:r>
    </w:p>
    <w:p w14:paraId="5C37B799">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p>
    <w:p w14:paraId="0A72F297">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表达比较级：</w:t>
      </w:r>
    </w:p>
    <w:p w14:paraId="13133E2D">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considerably/significantly/noticeably + adj. </w:t>
      </w:r>
    </w:p>
    <w:p w14:paraId="579ABA45">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marginally/slightly/fractionally + adj.</w:t>
      </w:r>
    </w:p>
    <w:p w14:paraId="1B32F9F4">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relatively +adj.</w:t>
      </w:r>
    </w:p>
    <w:p w14:paraId="70B026B6">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p>
    <w:p w14:paraId="4DA3082B">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表达倍数：</w:t>
      </w:r>
    </w:p>
    <w:p w14:paraId="4F559382">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sz w:val="21"/>
          <w:szCs w:val="21"/>
        </w:rPr>
      </w:pPr>
      <w:r>
        <w:rPr>
          <w:rFonts w:hint="eastAsia" w:ascii="微软雅黑" w:hAnsi="微软雅黑" w:eastAsia="微软雅黑" w:cs="微软雅黑"/>
          <w:sz w:val="18"/>
          <w:szCs w:val="18"/>
        </w:rPr>
        <w:t>• twice/triple/half as many/much as</w:t>
      </w:r>
    </w:p>
    <w:p w14:paraId="44C9AA18">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区间数据描述：</w:t>
      </w:r>
    </w:p>
    <w:p w14:paraId="52BAC426">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rPr>
      </w:pPr>
      <w:r>
        <w:rPr>
          <w:rFonts w:hint="eastAsia" w:ascii="微软雅黑" w:hAnsi="微软雅黑" w:eastAsia="微软雅黑" w:cs="微软雅黑"/>
          <w:sz w:val="18"/>
          <w:szCs w:val="18"/>
        </w:rPr>
        <w:t xml:space="preserve">• the number/amount of sth/figures range from 数值 to 数值 </w:t>
      </w:r>
    </w:p>
    <w:p w14:paraId="51C270B1">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pPr>
      <w:r>
        <w:drawing>
          <wp:anchor distT="0" distB="0" distL="114300" distR="114300" simplePos="0" relativeHeight="251659264" behindDoc="1" locked="0" layoutInCell="1" allowOverlap="1">
            <wp:simplePos x="0" y="0"/>
            <wp:positionH relativeFrom="column">
              <wp:posOffset>-108585</wp:posOffset>
            </wp:positionH>
            <wp:positionV relativeFrom="paragraph">
              <wp:posOffset>240030</wp:posOffset>
            </wp:positionV>
            <wp:extent cx="2447290" cy="1709420"/>
            <wp:effectExtent l="0" t="0" r="10160" b="5080"/>
            <wp:wrapTight wrapText="bothSides">
              <wp:wrapPolygon>
                <wp:start x="0" y="0"/>
                <wp:lineTo x="0" y="21423"/>
                <wp:lineTo x="21353" y="21423"/>
                <wp:lineTo x="21353" y="0"/>
                <wp:lineTo x="0" y="0"/>
              </wp:wrapPolygon>
            </wp:wrapTight>
            <wp:docPr id="5" name="图片 4"/>
            <wp:cNvGraphicFramePr/>
            <a:graphic xmlns:a="http://schemas.openxmlformats.org/drawingml/2006/main">
              <a:graphicData uri="http://schemas.openxmlformats.org/drawingml/2006/picture">
                <pic:pic xmlns:pic="http://schemas.openxmlformats.org/drawingml/2006/picture">
                  <pic:nvPicPr>
                    <pic:cNvPr id="5" name="图片 4"/>
                    <pic:cNvPicPr/>
                  </pic:nvPicPr>
                  <pic:blipFill>
                    <a:blip r:embed="rId8"/>
                    <a:stretch>
                      <a:fillRect/>
                    </a:stretch>
                  </pic:blipFill>
                  <pic:spPr>
                    <a:xfrm>
                      <a:off x="0" y="0"/>
                      <a:ext cx="2447290" cy="1709420"/>
                    </a:xfrm>
                    <a:prstGeom prst="rect">
                      <a:avLst/>
                    </a:prstGeom>
                  </pic:spPr>
                </pic:pic>
              </a:graphicData>
            </a:graphic>
          </wp:anchor>
        </w:drawing>
      </w:r>
    </w:p>
    <w:p w14:paraId="313E9CB4">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【参考范文】</w:t>
      </w:r>
    </w:p>
    <w:p w14:paraId="3F393AB1">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The bar chart compares the production and consumption of rice in seven nations in the year 2008. </w:t>
      </w:r>
    </w:p>
    <w:p w14:paraId="4DB632EF">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Overall, China and India took the lead in both consumption and production, with figures noticeably larger than those in the rest five countries. </w:t>
      </w:r>
    </w:p>
    <w:p w14:paraId="3A42B436">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Among all the countries</w:t>
      </w:r>
      <w:bookmarkStart w:id="0" w:name="_GoBack"/>
      <w:bookmarkEnd w:id="0"/>
      <w:r>
        <w:rPr>
          <w:rFonts w:hint="eastAsia" w:ascii="微软雅黑" w:hAnsi="微软雅黑" w:eastAsia="微软雅黑" w:cs="微软雅黑"/>
          <w:sz w:val="18"/>
          <w:szCs w:val="18"/>
          <w:lang w:val="en-US" w:eastAsia="zh-CN"/>
        </w:rPr>
        <w:t xml:space="preserve">, China was the largest rice producer as well as consumer, producing approximately 15 million tons of rice and consuming the same amount in 2008. It was closely followed by India, whose rice production reached around 13 million tons and was slightly higher than the consumption (12 million tons). </w:t>
      </w:r>
    </w:p>
    <w:p w14:paraId="60ED9CED">
      <w:pPr>
        <w:pStyle w:val="15"/>
        <w:keepNext w:val="0"/>
        <w:keepLines w:val="0"/>
        <w:pageBreakBefore w:val="0"/>
        <w:widowControl w:val="0"/>
        <w:numPr>
          <w:ilvl w:val="0"/>
          <w:numId w:val="0"/>
        </w:numPr>
        <w:kinsoku/>
        <w:wordWrap/>
        <w:overflowPunct/>
        <w:topLinePunct w:val="0"/>
        <w:autoSpaceDE/>
        <w:autoSpaceDN/>
        <w:bidi w:val="0"/>
        <w:adjustRightInd/>
        <w:snapToGrid/>
        <w:spacing w:line="480" w:lineRule="exact"/>
        <w:ind w:leftChars="0"/>
        <w:textAlignment w:val="auto"/>
        <w:rPr>
          <w:rFonts w:hint="eastAsia" w:ascii="微软雅黑" w:hAnsi="微软雅黑" w:eastAsia="微软雅黑" w:cs="微软雅黑"/>
          <w:sz w:val="18"/>
          <w:szCs w:val="18"/>
          <w:lang w:val="en-US" w:eastAsia="zh-CN"/>
        </w:rPr>
      </w:pPr>
      <w:r>
        <w:rPr>
          <w:rFonts w:hint="eastAsia" w:ascii="微软雅黑" w:hAnsi="微软雅黑" w:eastAsia="微软雅黑" w:cs="微软雅黑"/>
          <w:sz w:val="18"/>
          <w:szCs w:val="18"/>
          <w:lang w:val="en-US" w:eastAsia="zh-CN"/>
        </w:rPr>
        <w:t xml:space="preserve">In the same year, Bangladesh and Indonesia were in similar situations, consuming more rice than they produced, figures ranging from 6 to 8 million tons. While, the pattern was different in Vietnam and Thailand, as their produced amount (4 million tons for Vietnam and 5 million tons for Thailand) was nearly twice as much as their usage. In terms of Japan, its production and consumption not only were recorded as the lowest figures but also were the same, at 2 million tons. </w:t>
      </w:r>
    </w:p>
    <w:p w14:paraId="5DCB719B">
      <w:pPr>
        <w:pStyle w:val="15"/>
        <w:numPr>
          <w:ilvl w:val="0"/>
          <w:numId w:val="0"/>
        </w:numPr>
        <w:ind w:leftChars="0"/>
        <w:rPr>
          <w:rFonts w:hint="default"/>
          <w:lang w:val="en-US" w:eastAsia="zh-CN"/>
        </w:rPr>
      </w:pPr>
    </w:p>
    <w:p w14:paraId="60970FE7">
      <w:pPr>
        <w:pStyle w:val="15"/>
        <w:numPr>
          <w:ilvl w:val="0"/>
          <w:numId w:val="0"/>
        </w:numPr>
        <w:ind w:leftChars="0"/>
        <w:rPr>
          <w:rFonts w:hint="eastAsia"/>
        </w:rPr>
      </w:pPr>
    </w:p>
    <w:p w14:paraId="0A9C9E1E">
      <w:pPr>
        <w:pStyle w:val="15"/>
        <w:numPr>
          <w:ilvl w:val="0"/>
          <w:numId w:val="1"/>
        </w:numPr>
        <w:ind w:firstLineChars="0"/>
        <w:rPr>
          <w:rFonts w:hint="eastAsia" w:ascii="微软雅黑" w:hAnsi="微软雅黑" w:eastAsia="微软雅黑" w:cs="微软雅黑"/>
          <w:b/>
          <w:sz w:val="24"/>
          <w:szCs w:val="21"/>
        </w:rPr>
      </w:pPr>
      <w:r>
        <w:rPr>
          <w:rFonts w:hint="eastAsia" w:ascii="微软雅黑" w:hAnsi="微软雅黑" w:eastAsia="微软雅黑" w:cs="微软雅黑"/>
          <w:b/>
          <w:sz w:val="24"/>
          <w:szCs w:val="21"/>
        </w:rPr>
        <w:t>混合图的写作方法</w:t>
      </w:r>
    </w:p>
    <w:p w14:paraId="0C3464A8">
      <w:pPr>
        <w:numPr>
          <w:ilvl w:val="0"/>
          <w:numId w:val="6"/>
        </w:numPr>
        <w:spacing w:line="440" w:lineRule="exact"/>
        <w:ind w:left="714" w:hanging="357"/>
        <w:rPr>
          <w:b/>
          <w:sz w:val="20"/>
          <w:szCs w:val="20"/>
        </w:rPr>
      </w:pPr>
      <w:r>
        <w:rPr>
          <w:rFonts w:hint="eastAsia"/>
          <w:b/>
          <w:bCs/>
          <w:sz w:val="20"/>
          <w:szCs w:val="20"/>
        </w:rPr>
        <w:t>概况：</w:t>
      </w:r>
      <w:r>
        <w:rPr>
          <w:rFonts w:hint="eastAsia"/>
          <w:b/>
          <w:sz w:val="20"/>
          <w:szCs w:val="20"/>
        </w:rPr>
        <w:t>混合图是对图形分析能力的综合考察，一般由两种不同的图形组成；</w:t>
      </w:r>
    </w:p>
    <w:p w14:paraId="7FAD542F">
      <w:pPr>
        <w:numPr>
          <w:ilvl w:val="0"/>
          <w:numId w:val="6"/>
        </w:numPr>
        <w:spacing w:line="440" w:lineRule="exact"/>
        <w:ind w:left="714" w:hanging="357"/>
        <w:rPr>
          <w:b/>
          <w:sz w:val="20"/>
          <w:szCs w:val="20"/>
        </w:rPr>
      </w:pPr>
      <w:r>
        <w:rPr>
          <w:rFonts w:hint="eastAsia"/>
          <w:b/>
          <w:bCs/>
          <w:sz w:val="20"/>
          <w:szCs w:val="20"/>
        </w:rPr>
        <w:t>特点：</w:t>
      </w:r>
      <w:r>
        <w:rPr>
          <w:rFonts w:hint="eastAsia"/>
          <w:b/>
          <w:sz w:val="20"/>
          <w:szCs w:val="20"/>
        </w:rPr>
        <w:t>每张图各用一句话总结特点；</w:t>
      </w:r>
    </w:p>
    <w:p w14:paraId="15FF624D">
      <w:pPr>
        <w:numPr>
          <w:ilvl w:val="0"/>
          <w:numId w:val="6"/>
        </w:numPr>
        <w:spacing w:line="440" w:lineRule="exact"/>
        <w:ind w:left="714" w:hanging="357"/>
        <w:rPr>
          <w:rFonts w:hint="eastAsia"/>
          <w:b/>
          <w:sz w:val="20"/>
          <w:szCs w:val="20"/>
        </w:rPr>
      </w:pPr>
      <w:r>
        <w:rPr>
          <w:rFonts w:hint="eastAsia"/>
          <w:b/>
          <w:bCs/>
          <w:sz w:val="20"/>
          <w:szCs w:val="20"/>
        </w:rPr>
        <w:t>分段方法：</w:t>
      </w:r>
      <w:r>
        <w:rPr>
          <w:rFonts w:hint="eastAsia"/>
          <w:b/>
          <w:sz w:val="20"/>
          <w:szCs w:val="20"/>
        </w:rPr>
        <w:t>一个图一段；</w:t>
      </w:r>
    </w:p>
    <w:p w14:paraId="0E5E684C">
      <w:pPr>
        <w:keepNext w:val="0"/>
        <w:keepLines w:val="0"/>
        <w:pageBreakBefore w:val="0"/>
        <w:widowControl w:val="0"/>
        <w:numPr>
          <w:ilvl w:val="0"/>
          <w:numId w:val="6"/>
        </w:numPr>
        <w:kinsoku/>
        <w:wordWrap/>
        <w:overflowPunct/>
        <w:topLinePunct w:val="0"/>
        <w:autoSpaceDE/>
        <w:autoSpaceDN/>
        <w:bidi w:val="0"/>
        <w:adjustRightInd/>
        <w:snapToGrid/>
        <w:spacing w:after="157" w:afterLines="50" w:line="440" w:lineRule="exact"/>
        <w:ind w:left="714" w:hanging="357"/>
        <w:textAlignment w:val="auto"/>
        <w:rPr>
          <w:b/>
          <w:sz w:val="20"/>
          <w:szCs w:val="20"/>
        </w:rPr>
      </w:pPr>
      <w:r>
        <w:rPr>
          <w:rFonts w:hint="eastAsia"/>
          <w:b/>
          <w:bCs/>
          <w:sz w:val="20"/>
          <w:szCs w:val="20"/>
        </w:rPr>
        <w:t>主体段：</w:t>
      </w:r>
      <w:r>
        <w:rPr>
          <w:rFonts w:hint="eastAsia"/>
          <w:b/>
          <w:sz w:val="20"/>
          <w:szCs w:val="20"/>
        </w:rPr>
        <w:t>段落内部按照各个图形的写作步骤进行描述</w:t>
      </w:r>
      <w:r>
        <w:rPr>
          <w:b/>
          <w:sz w:val="20"/>
          <w:szCs w:val="20"/>
        </w:rPr>
        <w:t>。</w:t>
      </w:r>
    </w:p>
    <w:p w14:paraId="5C4CBC48">
      <w:pPr>
        <w:pStyle w:val="15"/>
        <w:numPr>
          <w:ilvl w:val="0"/>
          <w:numId w:val="7"/>
        </w:numPr>
        <w:ind w:firstLineChars="0"/>
        <w:rPr>
          <w:b/>
          <w:sz w:val="28"/>
          <w:szCs w:val="22"/>
        </w:rPr>
      </w:pPr>
      <w:r>
        <w:rPr>
          <w:b/>
          <w:sz w:val="28"/>
          <w:szCs w:val="22"/>
        </w:rPr>
        <w:t>introduction</w:t>
      </w:r>
      <w:r>
        <w:rPr>
          <w:rFonts w:hint="eastAsia"/>
          <w:b/>
          <w:sz w:val="28"/>
          <w:szCs w:val="22"/>
        </w:rPr>
        <w:t>示例</w:t>
      </w:r>
    </w:p>
    <w:p w14:paraId="1A6F9509">
      <w:pPr>
        <w:spacing w:line="400" w:lineRule="exact"/>
        <w:rPr>
          <w:sz w:val="22"/>
          <w:szCs w:val="20"/>
          <w:highlight w:val="none"/>
        </w:rPr>
      </w:pPr>
      <w:r>
        <w:rPr>
          <w:bCs/>
          <w:sz w:val="22"/>
          <w:szCs w:val="20"/>
          <w:highlight w:val="none"/>
        </w:rPr>
        <w:t>The charts below show the main reasons for study among students of different age groups and the amount of support they received from employers.</w:t>
      </w:r>
    </w:p>
    <w:p w14:paraId="7D29C4C8">
      <w:pPr>
        <w:rPr>
          <w:b/>
          <w:sz w:val="32"/>
        </w:rPr>
      </w:pPr>
      <w:r>
        <w:rPr>
          <w:b/>
          <w:sz w:val="32"/>
        </w:rPr>
        <w:drawing>
          <wp:inline distT="0" distB="0" distL="0" distR="0">
            <wp:extent cx="2082165" cy="1370330"/>
            <wp:effectExtent l="0" t="0" r="13335" b="1270"/>
            <wp:docPr id="62" name="图片 1"/>
            <wp:cNvGraphicFramePr/>
            <a:graphic xmlns:a="http://schemas.openxmlformats.org/drawingml/2006/main">
              <a:graphicData uri="http://schemas.openxmlformats.org/drawingml/2006/picture">
                <pic:pic xmlns:pic="http://schemas.openxmlformats.org/drawingml/2006/picture">
                  <pic:nvPicPr>
                    <pic:cNvPr id="62" name="图片 1"/>
                    <pic:cNvPicPr/>
                  </pic:nvPicPr>
                  <pic:blipFill>
                    <a:blip r:embed="rId9"/>
                    <a:stretch>
                      <a:fillRect/>
                    </a:stretch>
                  </pic:blipFill>
                  <pic:spPr>
                    <a:xfrm>
                      <a:off x="0" y="0"/>
                      <a:ext cx="2082165" cy="1370330"/>
                    </a:xfrm>
                    <a:prstGeom prst="rect">
                      <a:avLst/>
                    </a:prstGeom>
                    <a:noFill/>
                    <a:ln w="9525">
                      <a:noFill/>
                    </a:ln>
                  </pic:spPr>
                </pic:pic>
              </a:graphicData>
            </a:graphic>
          </wp:inline>
        </w:drawing>
      </w:r>
    </w:p>
    <w:p w14:paraId="56452E30">
      <w:pPr>
        <w:spacing w:after="156" w:afterLines="50" w:line="440" w:lineRule="exact"/>
        <w:rPr>
          <w:color w:val="C00000"/>
          <w:sz w:val="21"/>
          <w:szCs w:val="18"/>
        </w:rPr>
      </w:pPr>
      <w:r>
        <w:rPr>
          <w:color w:val="C00000"/>
          <w:sz w:val="21"/>
          <w:szCs w:val="18"/>
        </w:rPr>
        <w:t xml:space="preserve">The </w:t>
      </w:r>
      <w:r>
        <w:rPr>
          <w:bCs/>
          <w:color w:val="C00000"/>
          <w:sz w:val="21"/>
          <w:szCs w:val="18"/>
          <w:u w:val="single"/>
        </w:rPr>
        <w:t>bar charts</w:t>
      </w:r>
      <w:r>
        <w:rPr>
          <w:color w:val="C00000"/>
          <w:sz w:val="21"/>
          <w:szCs w:val="18"/>
        </w:rPr>
        <w:t xml:space="preserve"> compare students of different ages in terms of why they are studying and whether they are supported by an employer.</w:t>
      </w:r>
    </w:p>
    <w:p w14:paraId="08D32828">
      <w:pPr>
        <w:rPr>
          <w:b/>
          <w:sz w:val="32"/>
        </w:rPr>
      </w:pPr>
      <w:r>
        <w:rPr>
          <w:b/>
          <w:sz w:val="32"/>
        </w:rPr>
        <w:drawing>
          <wp:inline distT="0" distB="0" distL="0" distR="0">
            <wp:extent cx="2082800" cy="1900555"/>
            <wp:effectExtent l="0" t="0" r="12700" b="4445"/>
            <wp:docPr id="61" name="图片 1"/>
            <wp:cNvGraphicFramePr/>
            <a:graphic xmlns:a="http://schemas.openxmlformats.org/drawingml/2006/main">
              <a:graphicData uri="http://schemas.openxmlformats.org/drawingml/2006/picture">
                <pic:pic xmlns:pic="http://schemas.openxmlformats.org/drawingml/2006/picture">
                  <pic:nvPicPr>
                    <pic:cNvPr id="61" name="图片 1"/>
                    <pic:cNvPicPr/>
                  </pic:nvPicPr>
                  <pic:blipFill>
                    <a:blip r:embed="rId10"/>
                    <a:stretch>
                      <a:fillRect/>
                    </a:stretch>
                  </pic:blipFill>
                  <pic:spPr>
                    <a:xfrm>
                      <a:off x="0" y="0"/>
                      <a:ext cx="2082800" cy="1900555"/>
                    </a:xfrm>
                    <a:prstGeom prst="rect">
                      <a:avLst/>
                    </a:prstGeom>
                    <a:noFill/>
                    <a:ln w="9525">
                      <a:noFill/>
                    </a:ln>
                  </pic:spPr>
                </pic:pic>
              </a:graphicData>
            </a:graphic>
          </wp:inline>
        </w:drawing>
      </w:r>
    </w:p>
    <w:p w14:paraId="4E1C583C">
      <w:pPr>
        <w:spacing w:line="440" w:lineRule="exact"/>
        <w:rPr>
          <w:color w:val="C00000"/>
          <w:sz w:val="24"/>
          <w:szCs w:val="21"/>
        </w:rPr>
      </w:pPr>
      <w:r>
        <w:rPr>
          <w:color w:val="C00000"/>
          <w:sz w:val="24"/>
          <w:szCs w:val="21"/>
        </w:rPr>
        <w:t>The line graph and table compare the amount of water used for agriculture, industry and homes around the world, and water use in Brazil and the Democratic Republic of Congo.</w:t>
      </w:r>
    </w:p>
    <w:p w14:paraId="69B83B91">
      <w:pPr>
        <w:spacing w:line="440" w:lineRule="exact"/>
        <w:rPr>
          <w:color w:val="C00000"/>
          <w:sz w:val="24"/>
          <w:szCs w:val="21"/>
        </w:rPr>
      </w:pPr>
    </w:p>
    <w:p w14:paraId="25AD8857">
      <w:pPr>
        <w:spacing w:line="440" w:lineRule="exact"/>
        <w:rPr>
          <w:color w:val="C00000"/>
          <w:sz w:val="24"/>
          <w:szCs w:val="21"/>
        </w:rPr>
      </w:pPr>
    </w:p>
    <w:p w14:paraId="08F9D688">
      <w:pPr>
        <w:spacing w:line="440" w:lineRule="exact"/>
        <w:rPr>
          <w:rFonts w:hint="eastAsia" w:ascii="微软雅黑" w:hAnsi="微软雅黑" w:eastAsia="微软雅黑" w:cs="微软雅黑"/>
          <w:color w:val="000000" w:themeColor="text1"/>
          <w:sz w:val="28"/>
          <w:szCs w:val="22"/>
          <w:lang w:val="en-US" w:eastAsia="zh-CN"/>
          <w14:textFill>
            <w14:solidFill>
              <w14:schemeClr w14:val="tx1"/>
            </w14:solidFill>
          </w14:textFill>
        </w:rPr>
      </w:pPr>
      <w:r>
        <w:rPr>
          <w:rFonts w:hint="eastAsia" w:ascii="微软雅黑" w:hAnsi="微软雅黑" w:eastAsia="微软雅黑" w:cs="微软雅黑"/>
          <w:color w:val="000000" w:themeColor="text1"/>
          <w:sz w:val="28"/>
          <w:szCs w:val="22"/>
          <w:lang w:val="en-US" w:eastAsia="zh-CN"/>
          <w14:textFill>
            <w14:solidFill>
              <w14:schemeClr w14:val="tx1"/>
            </w14:solidFill>
          </w14:textFill>
        </w:rPr>
        <w:t>作业</w:t>
      </w:r>
    </w:p>
    <w:p w14:paraId="4F1ECB98">
      <w:pPr>
        <w:spacing w:line="440" w:lineRule="exact"/>
        <w:rPr>
          <w:rFonts w:hint="eastAsia" w:ascii="微软雅黑" w:hAnsi="微软雅黑" w:eastAsia="微软雅黑" w:cs="微软雅黑"/>
          <w:color w:val="000000" w:themeColor="text1"/>
          <w:sz w:val="22"/>
          <w:szCs w:val="20"/>
          <w:lang w:val="en-US" w:eastAsia="zh-CN"/>
          <w14:textFill>
            <w14:solidFill>
              <w14:schemeClr w14:val="tx1"/>
            </w14:solidFill>
          </w14:textFill>
        </w:rPr>
      </w:pPr>
      <w:r>
        <w:rPr>
          <w:rFonts w:hint="eastAsia" w:ascii="微软雅黑" w:hAnsi="微软雅黑" w:eastAsia="微软雅黑" w:cs="微软雅黑"/>
          <w:color w:val="000000" w:themeColor="text1"/>
          <w:sz w:val="22"/>
          <w:szCs w:val="20"/>
          <w:lang w:val="en-US" w:eastAsia="zh-CN"/>
          <w14:textFill>
            <w14:solidFill>
              <w14:schemeClr w14:val="tx1"/>
            </w14:solidFill>
          </w14:textFill>
        </w:rPr>
        <w:t xml:space="preserve">The chart below shows the different level of post- school qualifications in Australia and proportion of men and women who held them in 1999. </w:t>
      </w:r>
    </w:p>
    <w:p w14:paraId="7FF04B74">
      <w:pPr>
        <w:spacing w:line="440" w:lineRule="exact"/>
        <w:rPr>
          <w:rFonts w:hint="eastAsia" w:ascii="微软雅黑" w:hAnsi="微软雅黑" w:eastAsia="微软雅黑" w:cs="微软雅黑"/>
          <w:color w:val="000000" w:themeColor="text1"/>
          <w:sz w:val="28"/>
          <w:szCs w:val="22"/>
          <w:lang w:val="en-US" w:eastAsia="zh-CN"/>
          <w14:textFill>
            <w14:solidFill>
              <w14:schemeClr w14:val="tx1"/>
            </w14:solidFill>
          </w14:textFill>
        </w:rPr>
      </w:pPr>
      <w:r>
        <w:drawing>
          <wp:anchor distT="0" distB="0" distL="114300" distR="114300" simplePos="0" relativeHeight="251660288" behindDoc="0" locked="0" layoutInCell="1" allowOverlap="1">
            <wp:simplePos x="0" y="0"/>
            <wp:positionH relativeFrom="column">
              <wp:posOffset>93345</wp:posOffset>
            </wp:positionH>
            <wp:positionV relativeFrom="paragraph">
              <wp:posOffset>236855</wp:posOffset>
            </wp:positionV>
            <wp:extent cx="3042285" cy="1684655"/>
            <wp:effectExtent l="0" t="0" r="5715" b="10795"/>
            <wp:wrapSquare wrapText="bothSides"/>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1"/>
                    <a:stretch>
                      <a:fillRect/>
                    </a:stretch>
                  </pic:blipFill>
                  <pic:spPr>
                    <a:xfrm>
                      <a:off x="0" y="0"/>
                      <a:ext cx="3042285" cy="1684655"/>
                    </a:xfrm>
                    <a:prstGeom prst="rect">
                      <a:avLst/>
                    </a:prstGeom>
                  </pic:spPr>
                </pic:pic>
              </a:graphicData>
            </a:graphic>
          </wp:anchor>
        </w:drawing>
      </w:r>
    </w:p>
    <w:p w14:paraId="1F797E79">
      <w:pPr>
        <w:spacing w:line="440" w:lineRule="exact"/>
        <w:rPr>
          <w:rFonts w:hint="eastAsia" w:ascii="微软雅黑" w:hAnsi="微软雅黑" w:eastAsia="微软雅黑" w:cs="微软雅黑"/>
          <w:color w:val="000000" w:themeColor="text1"/>
          <w:sz w:val="28"/>
          <w:szCs w:val="22"/>
          <w:lang w:val="en-US" w:eastAsia="zh-CN"/>
          <w14:textFill>
            <w14:solidFill>
              <w14:schemeClr w14:val="tx1"/>
            </w14:solidFill>
          </w14:textFill>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1A51A5"/>
    <w:multiLevelType w:val="singleLevel"/>
    <w:tmpl w:val="B41A51A5"/>
    <w:lvl w:ilvl="0" w:tentative="0">
      <w:start w:val="1"/>
      <w:numFmt w:val="decimal"/>
      <w:lvlText w:val="%1)"/>
      <w:lvlJc w:val="left"/>
      <w:pPr>
        <w:ind w:left="425" w:hanging="425"/>
      </w:pPr>
      <w:rPr>
        <w:rFonts w:hint="default"/>
      </w:rPr>
    </w:lvl>
  </w:abstractNum>
  <w:abstractNum w:abstractNumId="1">
    <w:nsid w:val="13D63A4C"/>
    <w:multiLevelType w:val="multilevel"/>
    <w:tmpl w:val="13D63A4C"/>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186B6405"/>
    <w:multiLevelType w:val="multilevel"/>
    <w:tmpl w:val="186B6405"/>
    <w:lvl w:ilvl="0" w:tentative="0">
      <w:start w:val="1"/>
      <w:numFmt w:val="decimal"/>
      <w:lvlText w:val="%1."/>
      <w:lvlJc w:val="left"/>
      <w:pPr>
        <w:ind w:left="480" w:hanging="480"/>
      </w:pPr>
      <w:rPr>
        <w:rFonts w:hint="default"/>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35965F53"/>
    <w:multiLevelType w:val="singleLevel"/>
    <w:tmpl w:val="35965F53"/>
    <w:lvl w:ilvl="0" w:tentative="0">
      <w:start w:val="1"/>
      <w:numFmt w:val="bullet"/>
      <w:lvlText w:val=""/>
      <w:lvlJc w:val="left"/>
      <w:pPr>
        <w:ind w:left="420" w:hanging="420"/>
      </w:pPr>
      <w:rPr>
        <w:rFonts w:hint="default" w:ascii="Wingdings" w:hAnsi="Wingdings"/>
      </w:rPr>
    </w:lvl>
  </w:abstractNum>
  <w:abstractNum w:abstractNumId="4">
    <w:nsid w:val="431670F5"/>
    <w:multiLevelType w:val="multilevel"/>
    <w:tmpl w:val="431670F5"/>
    <w:lvl w:ilvl="0" w:tentative="0">
      <w:start w:val="1"/>
      <w:numFmt w:val="bullet"/>
      <w:lvlText w:val="•"/>
      <w:lvlJc w:val="left"/>
      <w:pPr>
        <w:tabs>
          <w:tab w:val="left" w:pos="720"/>
        </w:tabs>
        <w:ind w:left="720" w:hanging="360"/>
      </w:pPr>
      <w:rPr>
        <w:rFonts w:hint="default" w:ascii="Arial" w:hAnsi="Arial"/>
      </w:rPr>
    </w:lvl>
    <w:lvl w:ilvl="1" w:tentative="0">
      <w:start w:val="1"/>
      <w:numFmt w:val="bullet"/>
      <w:lvlText w:val="•"/>
      <w:lvlJc w:val="left"/>
      <w:pPr>
        <w:tabs>
          <w:tab w:val="left" w:pos="1440"/>
        </w:tabs>
        <w:ind w:left="1440" w:hanging="360"/>
      </w:pPr>
      <w:rPr>
        <w:rFonts w:hint="default" w:ascii="Arial" w:hAnsi="Arial"/>
      </w:rPr>
    </w:lvl>
    <w:lvl w:ilvl="2" w:tentative="0">
      <w:start w:val="1"/>
      <w:numFmt w:val="bullet"/>
      <w:lvlText w:val="•"/>
      <w:lvlJc w:val="left"/>
      <w:pPr>
        <w:tabs>
          <w:tab w:val="left" w:pos="2160"/>
        </w:tabs>
        <w:ind w:left="2160" w:hanging="360"/>
      </w:pPr>
      <w:rPr>
        <w:rFonts w:hint="default" w:ascii="Arial" w:hAnsi="Arial"/>
      </w:rPr>
    </w:lvl>
    <w:lvl w:ilvl="3" w:tentative="0">
      <w:start w:val="1"/>
      <w:numFmt w:val="bullet"/>
      <w:lvlText w:val="•"/>
      <w:lvlJc w:val="left"/>
      <w:pPr>
        <w:tabs>
          <w:tab w:val="left" w:pos="2880"/>
        </w:tabs>
        <w:ind w:left="2880" w:hanging="360"/>
      </w:pPr>
      <w:rPr>
        <w:rFonts w:hint="default" w:ascii="Arial" w:hAnsi="Arial"/>
      </w:rPr>
    </w:lvl>
    <w:lvl w:ilvl="4" w:tentative="0">
      <w:start w:val="1"/>
      <w:numFmt w:val="bullet"/>
      <w:lvlText w:val="•"/>
      <w:lvlJc w:val="left"/>
      <w:pPr>
        <w:tabs>
          <w:tab w:val="left" w:pos="3600"/>
        </w:tabs>
        <w:ind w:left="3600" w:hanging="360"/>
      </w:pPr>
      <w:rPr>
        <w:rFonts w:hint="default" w:ascii="Arial" w:hAnsi="Arial"/>
      </w:rPr>
    </w:lvl>
    <w:lvl w:ilvl="5" w:tentative="0">
      <w:start w:val="1"/>
      <w:numFmt w:val="bullet"/>
      <w:lvlText w:val="•"/>
      <w:lvlJc w:val="left"/>
      <w:pPr>
        <w:tabs>
          <w:tab w:val="left" w:pos="4320"/>
        </w:tabs>
        <w:ind w:left="4320" w:hanging="360"/>
      </w:pPr>
      <w:rPr>
        <w:rFonts w:hint="default" w:ascii="Arial" w:hAnsi="Arial"/>
      </w:rPr>
    </w:lvl>
    <w:lvl w:ilvl="6" w:tentative="0">
      <w:start w:val="1"/>
      <w:numFmt w:val="bullet"/>
      <w:lvlText w:val="•"/>
      <w:lvlJc w:val="left"/>
      <w:pPr>
        <w:tabs>
          <w:tab w:val="left" w:pos="5040"/>
        </w:tabs>
        <w:ind w:left="5040" w:hanging="360"/>
      </w:pPr>
      <w:rPr>
        <w:rFonts w:hint="default" w:ascii="Arial" w:hAnsi="Arial"/>
      </w:rPr>
    </w:lvl>
    <w:lvl w:ilvl="7" w:tentative="0">
      <w:start w:val="1"/>
      <w:numFmt w:val="bullet"/>
      <w:lvlText w:val="•"/>
      <w:lvlJc w:val="left"/>
      <w:pPr>
        <w:tabs>
          <w:tab w:val="left" w:pos="5760"/>
        </w:tabs>
        <w:ind w:left="5760" w:hanging="360"/>
      </w:pPr>
      <w:rPr>
        <w:rFonts w:hint="default" w:ascii="Arial" w:hAnsi="Arial"/>
      </w:rPr>
    </w:lvl>
    <w:lvl w:ilvl="8" w:tentative="0">
      <w:start w:val="1"/>
      <w:numFmt w:val="bullet"/>
      <w:lvlText w:val="•"/>
      <w:lvlJc w:val="left"/>
      <w:pPr>
        <w:tabs>
          <w:tab w:val="left" w:pos="6480"/>
        </w:tabs>
        <w:ind w:left="6480" w:hanging="360"/>
      </w:pPr>
      <w:rPr>
        <w:rFonts w:hint="default" w:ascii="Arial" w:hAnsi="Arial"/>
      </w:rPr>
    </w:lvl>
  </w:abstractNum>
  <w:abstractNum w:abstractNumId="5">
    <w:nsid w:val="5DB8979F"/>
    <w:multiLevelType w:val="singleLevel"/>
    <w:tmpl w:val="5DB8979F"/>
    <w:lvl w:ilvl="0" w:tentative="0">
      <w:start w:val="1"/>
      <w:numFmt w:val="decimal"/>
      <w:lvlText w:val="%1)"/>
      <w:lvlJc w:val="left"/>
      <w:pPr>
        <w:ind w:left="425" w:hanging="425"/>
      </w:pPr>
      <w:rPr>
        <w:rFonts w:hint="default"/>
      </w:rPr>
    </w:lvl>
  </w:abstractNum>
  <w:abstractNum w:abstractNumId="6">
    <w:nsid w:val="7F1B7E68"/>
    <w:multiLevelType w:val="singleLevel"/>
    <w:tmpl w:val="7F1B7E68"/>
    <w:lvl w:ilvl="0" w:tentative="0">
      <w:start w:val="1"/>
      <w:numFmt w:val="bullet"/>
      <w:lvlText w:val=""/>
      <w:lvlJc w:val="left"/>
      <w:pPr>
        <w:ind w:left="420" w:hanging="420"/>
      </w:pPr>
      <w:rPr>
        <w:rFonts w:hint="default" w:ascii="Wingdings" w:hAnsi="Wingdings"/>
      </w:rPr>
    </w:lvl>
  </w:abstractNum>
  <w:num w:numId="1">
    <w:abstractNumId w:val="2"/>
  </w:num>
  <w:num w:numId="2">
    <w:abstractNumId w:val="6"/>
  </w:num>
  <w:num w:numId="3">
    <w:abstractNumId w:val="0"/>
  </w:num>
  <w:num w:numId="4">
    <w:abstractNumId w:val="3"/>
  </w:num>
  <w:num w:numId="5">
    <w:abstractNumId w:val="5"/>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TViZTU3MmIxZGJiNzc1MWQwNTAxZWZjZDc3YTEwMzYifQ=="/>
  </w:docVars>
  <w:rsids>
    <w:rsidRoot w:val="00410DD4"/>
    <w:rsid w:val="000047FF"/>
    <w:rsid w:val="000F231E"/>
    <w:rsid w:val="00294CC7"/>
    <w:rsid w:val="002D208D"/>
    <w:rsid w:val="00392C65"/>
    <w:rsid w:val="00410DD4"/>
    <w:rsid w:val="00513387"/>
    <w:rsid w:val="006D2AFB"/>
    <w:rsid w:val="007D0B34"/>
    <w:rsid w:val="008F7D1C"/>
    <w:rsid w:val="00A5413B"/>
    <w:rsid w:val="00AB0E92"/>
    <w:rsid w:val="00E36EAE"/>
    <w:rsid w:val="00F71D37"/>
    <w:rsid w:val="00FA36D5"/>
    <w:rsid w:val="045E1284"/>
    <w:rsid w:val="054224BF"/>
    <w:rsid w:val="06966686"/>
    <w:rsid w:val="06E816FB"/>
    <w:rsid w:val="08E94D97"/>
    <w:rsid w:val="09EB2C7F"/>
    <w:rsid w:val="0B046150"/>
    <w:rsid w:val="0BE30010"/>
    <w:rsid w:val="0BF72C6E"/>
    <w:rsid w:val="10A8253F"/>
    <w:rsid w:val="10D07D40"/>
    <w:rsid w:val="10EA39CE"/>
    <w:rsid w:val="10FC1DEF"/>
    <w:rsid w:val="12796F3C"/>
    <w:rsid w:val="137E1980"/>
    <w:rsid w:val="142F76A5"/>
    <w:rsid w:val="14593D69"/>
    <w:rsid w:val="14AE54E2"/>
    <w:rsid w:val="14C97C16"/>
    <w:rsid w:val="151E7240"/>
    <w:rsid w:val="15E43555"/>
    <w:rsid w:val="161E046D"/>
    <w:rsid w:val="169932AD"/>
    <w:rsid w:val="16DD5D71"/>
    <w:rsid w:val="1A654388"/>
    <w:rsid w:val="1D0B3F40"/>
    <w:rsid w:val="1D953150"/>
    <w:rsid w:val="1ECD27F5"/>
    <w:rsid w:val="204673A8"/>
    <w:rsid w:val="20942228"/>
    <w:rsid w:val="218A3FF6"/>
    <w:rsid w:val="24A34949"/>
    <w:rsid w:val="255E1A89"/>
    <w:rsid w:val="26C07516"/>
    <w:rsid w:val="26E2150D"/>
    <w:rsid w:val="290376DD"/>
    <w:rsid w:val="2B0F5FD5"/>
    <w:rsid w:val="2C337626"/>
    <w:rsid w:val="2C956D4E"/>
    <w:rsid w:val="2D0F0EDE"/>
    <w:rsid w:val="2D2A35EB"/>
    <w:rsid w:val="2F3A210B"/>
    <w:rsid w:val="308762F3"/>
    <w:rsid w:val="332B29F4"/>
    <w:rsid w:val="34F85BB4"/>
    <w:rsid w:val="35395B19"/>
    <w:rsid w:val="38333A05"/>
    <w:rsid w:val="38372715"/>
    <w:rsid w:val="39113C01"/>
    <w:rsid w:val="392A318C"/>
    <w:rsid w:val="3930188D"/>
    <w:rsid w:val="39A95BE7"/>
    <w:rsid w:val="3ABE4BCF"/>
    <w:rsid w:val="3BB009C5"/>
    <w:rsid w:val="3CBA5482"/>
    <w:rsid w:val="3D2071A5"/>
    <w:rsid w:val="3EA03A5D"/>
    <w:rsid w:val="3F036D74"/>
    <w:rsid w:val="40544B3B"/>
    <w:rsid w:val="41911D83"/>
    <w:rsid w:val="42272FB5"/>
    <w:rsid w:val="42355B13"/>
    <w:rsid w:val="42F443CF"/>
    <w:rsid w:val="4323799C"/>
    <w:rsid w:val="44426C3B"/>
    <w:rsid w:val="445300EE"/>
    <w:rsid w:val="466D03E7"/>
    <w:rsid w:val="46AD3E4D"/>
    <w:rsid w:val="47D46AAB"/>
    <w:rsid w:val="4844137A"/>
    <w:rsid w:val="4C8B6A62"/>
    <w:rsid w:val="4D913EBB"/>
    <w:rsid w:val="4E081522"/>
    <w:rsid w:val="4F0E461A"/>
    <w:rsid w:val="516D3F0A"/>
    <w:rsid w:val="51F517FB"/>
    <w:rsid w:val="530B4BE6"/>
    <w:rsid w:val="533A0BC6"/>
    <w:rsid w:val="542C7D94"/>
    <w:rsid w:val="557741B3"/>
    <w:rsid w:val="563F4B16"/>
    <w:rsid w:val="5BC85171"/>
    <w:rsid w:val="5BD1096C"/>
    <w:rsid w:val="5BE102E6"/>
    <w:rsid w:val="5CDA077F"/>
    <w:rsid w:val="5D3250CD"/>
    <w:rsid w:val="5D785257"/>
    <w:rsid w:val="5E5C65A1"/>
    <w:rsid w:val="5F411581"/>
    <w:rsid w:val="60292D68"/>
    <w:rsid w:val="60F81736"/>
    <w:rsid w:val="60FE300D"/>
    <w:rsid w:val="612B4FB0"/>
    <w:rsid w:val="614479B7"/>
    <w:rsid w:val="61C35AC3"/>
    <w:rsid w:val="61C36E26"/>
    <w:rsid w:val="62D91A8A"/>
    <w:rsid w:val="63C90AB0"/>
    <w:rsid w:val="63D27BE7"/>
    <w:rsid w:val="64600FB3"/>
    <w:rsid w:val="64684DE1"/>
    <w:rsid w:val="68F32CE2"/>
    <w:rsid w:val="6A8844EE"/>
    <w:rsid w:val="6E652448"/>
    <w:rsid w:val="7206664B"/>
    <w:rsid w:val="724A0F86"/>
    <w:rsid w:val="727F3AA6"/>
    <w:rsid w:val="72800ED4"/>
    <w:rsid w:val="73CB4AA0"/>
    <w:rsid w:val="749E71EB"/>
    <w:rsid w:val="74D12928"/>
    <w:rsid w:val="75673BBF"/>
    <w:rsid w:val="76FA1255"/>
    <w:rsid w:val="782C4821"/>
    <w:rsid w:val="7845162D"/>
    <w:rsid w:val="79054633"/>
    <w:rsid w:val="794669D3"/>
    <w:rsid w:val="79FA3FD5"/>
    <w:rsid w:val="7A5713D4"/>
    <w:rsid w:val="7B565E35"/>
    <w:rsid w:val="7C7171E5"/>
    <w:rsid w:val="7D742E9D"/>
    <w:rsid w:val="7F4E4237"/>
    <w:rsid w:val="7FC11B62"/>
    <w:rsid w:val="7FFB4F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4"/>
      <w:szCs w:val="24"/>
      <w:lang w:val="en-US" w:eastAsia="zh-CN" w:bidi="ar-SA"/>
    </w:rPr>
  </w:style>
  <w:style w:type="paragraph" w:styleId="2">
    <w:name w:val="heading 1"/>
    <w:basedOn w:val="1"/>
    <w:next w:val="1"/>
    <w:link w:val="11"/>
    <w:autoRedefine/>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10"/>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14"/>
    <w:autoRedefine/>
    <w:unhideWhenUsed/>
    <w:qFormat/>
    <w:uiPriority w:val="9"/>
    <w:pPr>
      <w:keepNext/>
      <w:keepLines/>
      <w:spacing w:before="260" w:after="260" w:line="416" w:lineRule="auto"/>
      <w:outlineLvl w:val="2"/>
    </w:pPr>
    <w:rPr>
      <w:b/>
      <w:bCs/>
      <w:sz w:val="32"/>
      <w:szCs w:val="32"/>
    </w:rPr>
  </w:style>
  <w:style w:type="character" w:default="1" w:styleId="9">
    <w:name w:val="Default Paragraph Font"/>
    <w:autoRedefine/>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5">
    <w:name w:val="Subtitle"/>
    <w:basedOn w:val="1"/>
    <w:next w:val="1"/>
    <w:link w:val="12"/>
    <w:autoRedefine/>
    <w:qFormat/>
    <w:uiPriority w:val="11"/>
    <w:pPr>
      <w:spacing w:before="240" w:after="60" w:line="312" w:lineRule="auto"/>
      <w:jc w:val="center"/>
      <w:outlineLvl w:val="1"/>
    </w:pPr>
    <w:rPr>
      <w:rFonts w:eastAsia="宋体" w:asciiTheme="majorHAnsi" w:hAnsiTheme="majorHAnsi" w:cstheme="majorBidi"/>
      <w:b/>
      <w:bCs/>
      <w:kern w:val="28"/>
      <w:sz w:val="32"/>
      <w:szCs w:val="32"/>
    </w:rPr>
  </w:style>
  <w:style w:type="paragraph" w:styleId="6">
    <w:name w:val="Normal (Web)"/>
    <w:basedOn w:val="1"/>
    <w:autoRedefine/>
    <w:semiHidden/>
    <w:unhideWhenUsed/>
    <w:qFormat/>
    <w:uiPriority w:val="99"/>
    <w:pPr>
      <w:widowControl/>
      <w:spacing w:before="100" w:beforeAutospacing="1" w:after="100" w:afterAutospacing="1"/>
      <w:jc w:val="left"/>
    </w:pPr>
    <w:rPr>
      <w:rFonts w:ascii="Times New Roman" w:hAnsi="Times New Roman" w:cs="Times New Roman"/>
      <w:kern w:val="0"/>
    </w:rPr>
  </w:style>
  <w:style w:type="paragraph" w:styleId="7">
    <w:name w:val="Title"/>
    <w:basedOn w:val="1"/>
    <w:next w:val="1"/>
    <w:link w:val="13"/>
    <w:autoRedefine/>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10">
    <w:name w:val="标题 2字符"/>
    <w:basedOn w:val="9"/>
    <w:link w:val="3"/>
    <w:autoRedefine/>
    <w:qFormat/>
    <w:uiPriority w:val="9"/>
    <w:rPr>
      <w:rFonts w:asciiTheme="majorHAnsi" w:hAnsiTheme="majorHAnsi" w:eastAsiaTheme="majorEastAsia" w:cstheme="majorBidi"/>
      <w:b/>
      <w:bCs/>
      <w:sz w:val="32"/>
      <w:szCs w:val="32"/>
    </w:rPr>
  </w:style>
  <w:style w:type="character" w:customStyle="1" w:styleId="11">
    <w:name w:val="标题 1字符"/>
    <w:basedOn w:val="9"/>
    <w:link w:val="2"/>
    <w:autoRedefine/>
    <w:qFormat/>
    <w:uiPriority w:val="9"/>
    <w:rPr>
      <w:b/>
      <w:bCs/>
      <w:kern w:val="44"/>
      <w:sz w:val="44"/>
      <w:szCs w:val="44"/>
    </w:rPr>
  </w:style>
  <w:style w:type="character" w:customStyle="1" w:styleId="12">
    <w:name w:val="副标题字符"/>
    <w:basedOn w:val="9"/>
    <w:link w:val="5"/>
    <w:autoRedefine/>
    <w:qFormat/>
    <w:uiPriority w:val="11"/>
    <w:rPr>
      <w:rFonts w:eastAsia="宋体" w:asciiTheme="majorHAnsi" w:hAnsiTheme="majorHAnsi" w:cstheme="majorBidi"/>
      <w:b/>
      <w:bCs/>
      <w:kern w:val="28"/>
      <w:sz w:val="32"/>
      <w:szCs w:val="32"/>
    </w:rPr>
  </w:style>
  <w:style w:type="character" w:customStyle="1" w:styleId="13">
    <w:name w:val="标题字符"/>
    <w:basedOn w:val="9"/>
    <w:link w:val="7"/>
    <w:autoRedefine/>
    <w:qFormat/>
    <w:uiPriority w:val="10"/>
    <w:rPr>
      <w:rFonts w:eastAsia="宋体" w:asciiTheme="majorHAnsi" w:hAnsiTheme="majorHAnsi" w:cstheme="majorBidi"/>
      <w:b/>
      <w:bCs/>
      <w:sz w:val="32"/>
      <w:szCs w:val="32"/>
    </w:rPr>
  </w:style>
  <w:style w:type="character" w:customStyle="1" w:styleId="14">
    <w:name w:val="标题 3字符"/>
    <w:basedOn w:val="9"/>
    <w:link w:val="4"/>
    <w:autoRedefine/>
    <w:qFormat/>
    <w:uiPriority w:val="9"/>
    <w:rPr>
      <w:b/>
      <w:bCs/>
      <w:sz w:val="32"/>
      <w:szCs w:val="32"/>
    </w:rPr>
  </w:style>
  <w:style w:type="paragraph" w:styleId="15">
    <w:name w:val="List Paragraph"/>
    <w:basedOn w:val="1"/>
    <w:autoRedefine/>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1054</Words>
  <Characters>3024</Characters>
  <Lines>122</Lines>
  <Paragraphs>98</Paragraphs>
  <TotalTime>4</TotalTime>
  <ScaleCrop>false</ScaleCrop>
  <LinksUpToDate>false</LinksUpToDate>
  <CharactersWithSpaces>3489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2023-07-31T13:46:00Z</dcterms:created>
  <dc:creator>Microsoft Office 用户</dc:creator>
  <cp:lastModifiedBy>호량</cp:lastModifiedBy>
  <cp:lastPrinted>2023-09-30T04:49:00Z</cp:lastPrinted>
  <dcterms:modified xsi:type="dcterms:W3CDTF">2025-04-28T01:41:23Z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7627ECBB7C8A42698A5B5EA781FE0C30_13</vt:lpwstr>
  </property>
  <property fmtid="{D5CDD505-2E9C-101B-9397-08002B2CF9AE}" pid="4" name="KSOTemplateDocerSaveRecord">
    <vt:lpwstr>eyJoZGlkIjoiZTViZTU3MmIxZGJiNzc1MWQwNTAxZWZjZDc3YTEwMzYiLCJ1c2VySWQiOiI2MjMzMDY4OTEifQ==</vt:lpwstr>
  </property>
</Properties>
</file>