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anker-the-ai-venture-operating-system"/>
    <w:p>
      <w:pPr>
        <w:pStyle w:val="Heading1"/>
      </w:pPr>
      <w:r>
        <w:t xml:space="preserve">Anker — The AI Venture Operating System</w:t>
      </w:r>
    </w:p>
    <w:bookmarkStart w:id="9" w:name="Xe292e7c79de1d0f258126e190247eb16bfcd224"/>
    <w:p>
      <w:pPr>
        <w:pStyle w:val="Heading3"/>
      </w:pPr>
      <w:r>
        <w:t xml:space="preserve">A Technical White Paper on the Architecture, Financial Engines, Quantitative Methods, and Workflows of the Anker Platform</w:t>
      </w:r>
    </w:p>
    <w:p>
      <w:pPr>
        <w:pStyle w:val="FirstParagraph"/>
      </w:pPr>
      <w:r>
        <w:rPr>
          <w:b/>
          <w:bCs/>
        </w:rPr>
        <w:t xml:space="preserve">Version 1.0 · 2026-08 · an-ker.de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A note on data integrity.</w:t>
      </w:r>
      <w:r>
        <w:t xml:space="preserve"> </w:t>
      </w:r>
      <w:r>
        <w:t xml:space="preserve">Every figure attributed to</w:t>
      </w:r>
      <w:r>
        <w:t xml:space="preserve"> </w:t>
      </w:r>
      <w:r>
        <w:t xml:space="preserve">“the platform”</w:t>
      </w:r>
      <w:r>
        <w:t xml:space="preserve"> </w:t>
      </w:r>
      <w:r>
        <w:t xml:space="preserve">in this</w:t>
      </w:r>
      <w:r>
        <w:t xml:space="preserve"> </w:t>
      </w:r>
      <w:r>
        <w:t xml:space="preserve">paper is drawn from the live production database (Neon Postgres) at the time of</w:t>
      </w:r>
      <w:r>
        <w:t xml:space="preserve"> </w:t>
      </w:r>
      <w:r>
        <w:t xml:space="preserve">writing, or from the source code. Where a number is a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rather than an</w:t>
      </w:r>
      <w:r>
        <w:t xml:space="preserve"> </w:t>
      </w:r>
      <w:r>
        <w:t xml:space="preserve">achieved result, it is labelled</w:t>
      </w:r>
      <w:r>
        <w:t xml:space="preserve"> </w:t>
      </w:r>
      <w:r>
        <w:rPr>
          <w:i/>
          <w:iCs/>
        </w:rPr>
        <w:t xml:space="preserve">(target)</w:t>
      </w:r>
      <w:r>
        <w:t xml:space="preserve">. Testimonial blocks are left as</w:t>
      </w:r>
      <w:r>
        <w:t xml:space="preserve"> </w:t>
      </w:r>
      <w:r>
        <w:t xml:space="preserve">clearly-marked placeholders to be filled with verbatim, attributable quotes;</w:t>
      </w:r>
      <w:r>
        <w:t xml:space="preserve"> </w:t>
      </w:r>
      <w:r>
        <w:t xml:space="preserve">no quotation in this paper should be treated as genuine until a named source</w:t>
      </w:r>
      <w:r>
        <w:t xml:space="preserve"> </w:t>
      </w:r>
      <w:r>
        <w:t xml:space="preserve">has confirmed it in writing. Figures marked</w:t>
      </w:r>
      <w:r>
        <w:t xml:space="preserve"> </w:t>
      </w:r>
      <w:r>
        <w:rPr>
          <w:i/>
          <w:iCs/>
        </w:rPr>
        <w:t xml:space="preserve">[FIGURE]</w:t>
      </w:r>
      <w:r>
        <w:t xml:space="preserve"> </w:t>
      </w:r>
      <w:r>
        <w:t xml:space="preserve">indicate where a</w:t>
      </w:r>
      <w:r>
        <w:t xml:space="preserve"> </w:t>
      </w:r>
      <w:r>
        <w:t xml:space="preserve">platform screenshot is to be inserted (asset path given); captions describe the</w:t>
      </w:r>
      <w:r>
        <w:t xml:space="preserve"> </w:t>
      </w:r>
      <w:r>
        <w:t xml:space="preserve">exact view.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Abstract</w:t>
      </w:r>
    </w:p>
    <w:p>
      <w:pPr>
        <w:pStyle w:val="Compact"/>
        <w:numPr>
          <w:ilvl w:val="0"/>
          <w:numId w:val="1001"/>
        </w:numPr>
      </w:pPr>
      <w:r>
        <w:t xml:space="preserve">Introduction &amp; Market Position</w:t>
      </w:r>
    </w:p>
    <w:p>
      <w:pPr>
        <w:pStyle w:val="Compact"/>
        <w:numPr>
          <w:ilvl w:val="0"/>
          <w:numId w:val="1001"/>
        </w:numPr>
      </w:pPr>
      <w:r>
        <w:t xml:space="preserve">System Architecture</w:t>
      </w:r>
    </w:p>
    <w:p>
      <w:pPr>
        <w:pStyle w:val="Compact"/>
        <w:numPr>
          <w:ilvl w:val="0"/>
          <w:numId w:val="1001"/>
        </w:numPr>
      </w:pPr>
      <w:r>
        <w:t xml:space="preserve">Identity, Personas &amp; Access Control</w:t>
      </w:r>
    </w:p>
    <w:p>
      <w:pPr>
        <w:pStyle w:val="Compact"/>
        <w:numPr>
          <w:ilvl w:val="0"/>
          <w:numId w:val="1001"/>
        </w:numPr>
      </w:pPr>
      <w:r>
        <w:t xml:space="preserve">The Application Shell &amp; Information Architecture</w:t>
      </w:r>
    </w:p>
    <w:p>
      <w:pPr>
        <w:pStyle w:val="Compact"/>
        <w:numPr>
          <w:ilvl w:val="0"/>
          <w:numId w:val="1001"/>
        </w:numPr>
      </w:pPr>
      <w:r>
        <w:t xml:space="preserve">The Tier-1 Financial Engines</w:t>
      </w:r>
    </w:p>
    <w:p>
      <w:pPr>
        <w:pStyle w:val="Compact"/>
        <w:numPr>
          <w:ilvl w:val="1"/>
          <w:numId w:val="1002"/>
        </w:numPr>
      </w:pPr>
      <w:r>
        <w:t xml:space="preserve">6.1 The 409A / Option-Pricing-Model Valuation Engine</w:t>
      </w:r>
    </w:p>
    <w:p>
      <w:pPr>
        <w:pStyle w:val="Compact"/>
        <w:numPr>
          <w:ilvl w:val="1"/>
          <w:numId w:val="1002"/>
        </w:numPr>
      </w:pPr>
      <w:r>
        <w:t xml:space="preserve">6.2 The Loan-Servicing (Private-Credit) Engine</w:t>
      </w:r>
    </w:p>
    <w:p>
      <w:pPr>
        <w:pStyle w:val="Compact"/>
        <w:numPr>
          <w:ilvl w:val="1"/>
          <w:numId w:val="1002"/>
        </w:numPr>
      </w:pPr>
      <w:r>
        <w:t xml:space="preserve">6.3 The Share-Plans (Equity Vesting) Engine</w:t>
      </w:r>
    </w:p>
    <w:p>
      <w:pPr>
        <w:pStyle w:val="Compact"/>
        <w:numPr>
          <w:ilvl w:val="0"/>
          <w:numId w:val="1001"/>
        </w:numPr>
      </w:pPr>
      <w:r>
        <w:t xml:space="preserve">Fund OS — Fund Administration &amp; Performance Mathematics</w:t>
      </w:r>
    </w:p>
    <w:p>
      <w:pPr>
        <w:pStyle w:val="Compact"/>
        <w:numPr>
          <w:ilvl w:val="0"/>
          <w:numId w:val="1001"/>
        </w:numPr>
      </w:pPr>
      <w:r>
        <w:t xml:space="preserve">The AI System — Model Router, Persona Agents &amp; Tooling</w:t>
      </w:r>
    </w:p>
    <w:p>
      <w:pPr>
        <w:pStyle w:val="Compact"/>
        <w:numPr>
          <w:ilvl w:val="0"/>
          <w:numId w:val="1001"/>
        </w:numPr>
      </w:pPr>
      <w:r>
        <w:t xml:space="preserve">Quantitative &amp; Machine-Learning Methods</w:t>
      </w:r>
    </w:p>
    <w:p>
      <w:pPr>
        <w:pStyle w:val="Compact"/>
        <w:numPr>
          <w:ilvl w:val="0"/>
          <w:numId w:val="1001"/>
        </w:numPr>
      </w:pPr>
      <w:r>
        <w:t xml:space="preserve">Core Workflows (Founder / VC / LP)</w:t>
      </w:r>
    </w:p>
    <w:p>
      <w:pPr>
        <w:pStyle w:val="Compact"/>
        <w:numPr>
          <w:ilvl w:val="0"/>
          <w:numId w:val="1001"/>
        </w:numPr>
      </w:pPr>
      <w:r>
        <w:t xml:space="preserve">Billing, Credits &amp; Metering</w:t>
      </w:r>
    </w:p>
    <w:p>
      <w:pPr>
        <w:pStyle w:val="Compact"/>
        <w:numPr>
          <w:ilvl w:val="0"/>
          <w:numId w:val="1001"/>
        </w:numPr>
      </w:pPr>
      <w:r>
        <w:t xml:space="preserve">Security, Compliance &amp; Auditability</w:t>
      </w:r>
    </w:p>
    <w:p>
      <w:pPr>
        <w:pStyle w:val="Compact"/>
        <w:numPr>
          <w:ilvl w:val="0"/>
          <w:numId w:val="1001"/>
        </w:numPr>
      </w:pPr>
      <w:r>
        <w:t xml:space="preserve">Evaluation &amp; Empirical Grounding</w:t>
      </w:r>
    </w:p>
    <w:p>
      <w:pPr>
        <w:pStyle w:val="Compact"/>
        <w:numPr>
          <w:ilvl w:val="0"/>
          <w:numId w:val="1001"/>
        </w:numPr>
      </w:pPr>
      <w:r>
        <w:t xml:space="preserve">Practitioner Commentary (testimonial placeholders)</w:t>
      </w:r>
    </w:p>
    <w:p>
      <w:pPr>
        <w:pStyle w:val="Compact"/>
        <w:numPr>
          <w:ilvl w:val="0"/>
          <w:numId w:val="1001"/>
        </w:numPr>
      </w:pPr>
      <w:r>
        <w:t xml:space="preserve">Roadmap</w:t>
      </w:r>
    </w:p>
    <w:p>
      <w:pPr>
        <w:pStyle w:val="Compact"/>
        <w:numPr>
          <w:ilvl w:val="0"/>
          <w:numId w:val="1001"/>
        </w:numPr>
      </w:pPr>
      <w:r>
        <w:t xml:space="preserve">Appendix A — Formula Reference</w:t>
      </w:r>
    </w:p>
    <w:p>
      <w:pPr>
        <w:pStyle w:val="Compact"/>
        <w:numPr>
          <w:ilvl w:val="0"/>
          <w:numId w:val="1001"/>
        </w:numPr>
      </w:pPr>
      <w:r>
        <w:t xml:space="preserve">Appendix B — Data Model &amp; API Surface</w:t>
      </w:r>
    </w:p>
    <w:p>
      <w:pPr>
        <w:pStyle w:val="Compact"/>
        <w:numPr>
          <w:ilvl w:val="0"/>
          <w:numId w:val="1001"/>
        </w:numPr>
      </w:pPr>
      <w:r>
        <w:t xml:space="preserve">Appendix C — README / Operator Guide</w:t>
      </w:r>
    </w:p>
    <w:p>
      <w:r>
        <w:pict>
          <v:rect style="width:0;height:1.5pt" o:hralign="center" o:hrstd="t" o:hr="t"/>
        </w:pict>
      </w:r>
    </w:p>
    <w:bookmarkEnd w:id="10"/>
    <w:bookmarkStart w:id="11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Anker is a multi-persona</w:t>
      </w:r>
      <w:r>
        <w:t xml:space="preserve"> </w:t>
      </w:r>
      <w:r>
        <w:rPr>
          <w:b/>
          <w:bCs/>
        </w:rPr>
        <w:t xml:space="preserve">venture operating system</w:t>
      </w:r>
      <w:r>
        <w:t xml:space="preserve">: a single web application</w:t>
      </w:r>
      <w:r>
        <w:t xml:space="preserve"> </w:t>
      </w:r>
      <w:r>
        <w:t xml:space="preserve">that a startup</w:t>
      </w:r>
      <w:r>
        <w:t xml:space="preserve"> </w:t>
      </w:r>
      <w:r>
        <w:rPr>
          <w:b/>
          <w:bCs/>
        </w:rPr>
        <w:t xml:space="preserve">founder</w:t>
      </w:r>
      <w:r>
        <w:t xml:space="preserve"> </w:t>
      </w:r>
      <w:r>
        <w:t xml:space="preserve">uses to raise a round, a</w:t>
      </w:r>
      <w:r>
        <w:t xml:space="preserve"> </w:t>
      </w:r>
      <w:r>
        <w:rPr>
          <w:b/>
          <w:bCs/>
        </w:rPr>
        <w:t xml:space="preserve">venture / fund general</w:t>
      </w:r>
      <w:r>
        <w:rPr>
          <w:b/>
          <w:bCs/>
        </w:rPr>
        <w:t xml:space="preserve"> </w:t>
      </w:r>
      <w:r>
        <w:rPr>
          <w:b/>
          <w:bCs/>
        </w:rPr>
        <w:t xml:space="preserve">partner (GP)</w:t>
      </w:r>
      <w:r>
        <w:t xml:space="preserve"> </w:t>
      </w:r>
      <w:r>
        <w:t xml:space="preserve">uses to source deals and run the back office, and a</w:t>
      </w:r>
      <w:r>
        <w:t xml:space="preserve"> </w:t>
      </w:r>
      <w:r>
        <w:rPr>
          <w:b/>
          <w:bCs/>
        </w:rPr>
        <w:t xml:space="preserve">limited</w:t>
      </w:r>
      <w:r>
        <w:rPr>
          <w:b/>
          <w:bCs/>
        </w:rPr>
        <w:t xml:space="preserve"> </w:t>
      </w:r>
      <w:r>
        <w:rPr>
          <w:b/>
          <w:bCs/>
        </w:rPr>
        <w:t xml:space="preserve">partner (LP)</w:t>
      </w:r>
      <w:r>
        <w:t xml:space="preserve"> </w:t>
      </w:r>
      <w:r>
        <w:t xml:space="preserve">uses to monitor their capital — each persona seeing a surface</w:t>
      </w:r>
      <w:r>
        <w:t xml:space="preserve"> </w:t>
      </w:r>
      <w:r>
        <w:t xml:space="preserve">scoped to their role but drawing on one shared data and intelligence layer.</w:t>
      </w:r>
    </w:p>
    <w:p>
      <w:pPr>
        <w:pStyle w:val="BodyText"/>
      </w:pPr>
      <w:r>
        <w:t xml:space="preserve">Unlike a marketing site with a login, Anker embeds</w:t>
      </w:r>
      <w:r>
        <w:t xml:space="preserve"> </w:t>
      </w:r>
      <w:r>
        <w:rPr>
          <w:b/>
          <w:bCs/>
        </w:rPr>
        <w:t xml:space="preserve">institutional-grade</w:t>
      </w:r>
      <w:r>
        <w:rPr>
          <w:b/>
          <w:bCs/>
        </w:rPr>
        <w:t xml:space="preserve"> </w:t>
      </w:r>
      <w:r>
        <w:rPr>
          <w:b/>
          <w:bCs/>
        </w:rPr>
        <w:t xml:space="preserve">financial machinery</w:t>
      </w:r>
      <w:r>
        <w:t xml:space="preserve"> </w:t>
      </w:r>
      <w:r>
        <w:t xml:space="preserve">directly in the product: an option-pricing-model (OPM)</w:t>
      </w:r>
      <w:r>
        <w:t xml:space="preserve"> </w:t>
      </w:r>
      <w:r>
        <w:t xml:space="preserve">409A valuation engine, a private-credit loan-servicing engine with covenant</w:t>
      </w:r>
      <w:r>
        <w:t xml:space="preserve"> </w:t>
      </w:r>
      <w:r>
        <w:t xml:space="preserve">tracking, an equity share-plan engine with cliff-aware vesting, and a fund-</w:t>
      </w:r>
      <w:r>
        <w:t xml:space="preserve"> </w:t>
      </w:r>
      <w:r>
        <w:t xml:space="preserve">administration layer that computes the standard private-capital performance</w:t>
      </w:r>
      <w:r>
        <w:t xml:space="preserve"> </w:t>
      </w:r>
      <w:r>
        <w:t xml:space="preserve">metrics (TVPI, DPI, RVPI, MOIC, and money-weighted IRR) from a live ledger.</w:t>
      </w:r>
      <w:r>
        <w:t xml:space="preserve"> </w:t>
      </w:r>
      <w:r>
        <w:t xml:space="preserve">Around this sits an</w:t>
      </w:r>
      <w:r>
        <w:t xml:space="preserve"> </w:t>
      </w:r>
      <w:r>
        <w:rPr>
          <w:b/>
          <w:bCs/>
        </w:rPr>
        <w:t xml:space="preserve">AI layer</w:t>
      </w:r>
      <w:r>
        <w:t xml:space="preserve"> </w:t>
      </w:r>
      <w:r>
        <w:t xml:space="preserve">— a provider-agnostic model router feeding a</w:t>
      </w:r>
      <w:r>
        <w:t xml:space="preserve"> </w:t>
      </w:r>
      <w:r>
        <w:t xml:space="preserve">tool-calling agent that adapts into three distinct</w:t>
      </w:r>
      <w:r>
        <w:t xml:space="preserve"> </w:t>
      </w:r>
      <w:r>
        <w:rPr>
          <w:i/>
          <w:iCs/>
        </w:rPr>
        <w:t xml:space="preserve">persona copilots</w:t>
      </w:r>
      <w:r>
        <w:t xml:space="preserve">, integrated</w:t>
      </w:r>
      <w:r>
        <w:t xml:space="preserve"> </w:t>
      </w:r>
      <w:r>
        <w:t xml:space="preserve">with the platform’s own features — and a</w:t>
      </w:r>
      <w:r>
        <w:t xml:space="preserve"> </w:t>
      </w:r>
      <w:r>
        <w:rPr>
          <w:b/>
          <w:bCs/>
        </w:rPr>
        <w:t xml:space="preserve">semantic matching</w:t>
      </w:r>
      <w:r>
        <w:t xml:space="preserve"> </w:t>
      </w:r>
      <w:r>
        <w:t xml:space="preserve">subsystem over a</w:t>
      </w:r>
      <w:r>
        <w:t xml:space="preserve"> </w:t>
      </w:r>
      <w:r>
        <w:t xml:space="preserve">database of</w:t>
      </w:r>
      <w:r>
        <w:t xml:space="preserve"> </w:t>
      </w:r>
      <w:r>
        <w:rPr>
          <w:b/>
          <w:bCs/>
        </w:rPr>
        <w:t xml:space="preserve">47,275</w:t>
      </w:r>
      <w:r>
        <w:t xml:space="preserve"> </w:t>
      </w:r>
      <w:r>
        <w:t xml:space="preserve">investors and decision-makers.</w:t>
      </w:r>
    </w:p>
    <w:p>
      <w:pPr>
        <w:pStyle w:val="BodyText"/>
      </w:pPr>
      <w:r>
        <w:t xml:space="preserve">This paper documents the system end-to-end: the architecture, the exact</w:t>
      </w:r>
      <w:r>
        <w:t xml:space="preserve"> </w:t>
      </w:r>
      <w:r>
        <w:t xml:space="preserve">mathematics behind each engine (with derivations), the machine-learning and</w:t>
      </w:r>
      <w:r>
        <w:t xml:space="preserve"> </w:t>
      </w:r>
      <w:r>
        <w:t xml:space="preserve">quantitative methods, the user workflows, and the security posture. It closes</w:t>
      </w:r>
      <w:r>
        <w:t xml:space="preserve"> </w:t>
      </w:r>
      <w:r>
        <w:t xml:space="preserve">with an honest empirical section grounded in the real production dataset.</w:t>
      </w:r>
    </w:p>
    <w:p>
      <w:r>
        <w:pict>
          <v:rect style="width:0;height:1.5pt" o:hralign="center" o:hrstd="t" o:hr="t"/>
        </w:pict>
      </w:r>
    </w:p>
    <w:bookmarkEnd w:id="11"/>
    <w:bookmarkStart w:id="15" w:name="introduction-market-position"/>
    <w:p>
      <w:pPr>
        <w:pStyle w:val="Heading2"/>
      </w:pPr>
      <w:r>
        <w:t xml:space="preserve">2. Introduction &amp; Market Position</w:t>
      </w:r>
    </w:p>
    <w:bookmarkStart w:id="12" w:name="the-problem"/>
    <w:p>
      <w:pPr>
        <w:pStyle w:val="Heading3"/>
      </w:pPr>
      <w:r>
        <w:t xml:space="preserve">2.1 The problem</w:t>
      </w:r>
    </w:p>
    <w:p>
      <w:pPr>
        <w:pStyle w:val="FirstParagraph"/>
      </w:pPr>
      <w:r>
        <w:t xml:space="preserve">The venture lifecycle is served by a patchwork of point tools: one product for</w:t>
      </w:r>
      <w:r>
        <w:t xml:space="preserve"> </w:t>
      </w:r>
      <w:r>
        <w:t xml:space="preserve">the cap table, another for the data room, a CRM for investor relationships, a</w:t>
      </w:r>
      <w:r>
        <w:t xml:space="preserve"> </w:t>
      </w:r>
      <w:r>
        <w:t xml:space="preserve">spreadsheet for the fund model, a separate portal for LP reporting, and nothing</w:t>
      </w:r>
      <w:r>
        <w:t xml:space="preserve"> </w:t>
      </w:r>
      <w:r>
        <w:t xml:space="preserve">that connects the founder raising capital to the investor deploying it. The data</w:t>
      </w:r>
      <w:r>
        <w:t xml:space="preserve"> </w:t>
      </w:r>
      <w:r>
        <w:t xml:space="preserve">that matters — who invests at what stage, what a company is worth, how a fund is</w:t>
      </w:r>
      <w:r>
        <w:t xml:space="preserve"> </w:t>
      </w:r>
      <w:r>
        <w:t xml:space="preserve">performing — is fragmented across these tools and across the boundary between the</w:t>
      </w:r>
      <w:r>
        <w:t xml:space="preserve"> </w:t>
      </w:r>
      <w:r>
        <w:t xml:space="preserve">two sides of the table.</w:t>
      </w:r>
    </w:p>
    <w:p>
      <w:pPr>
        <w:pStyle w:val="BodyText"/>
      </w:pPr>
      <w:r>
        <w:t xml:space="preserve">Anker’s thesis is that</w:t>
      </w:r>
      <w:r>
        <w:t xml:space="preserve"> </w:t>
      </w:r>
      <w:r>
        <w:rPr>
          <w:b/>
          <w:bCs/>
        </w:rPr>
        <w:t xml:space="preserve">the founder side and the fund side are the same graph</w:t>
      </w:r>
      <w:r>
        <w:t xml:space="preserve"> </w:t>
      </w:r>
      <w:r>
        <w:t xml:space="preserve">— companies, investors, rounds, positions, and people — and that a single system</w:t>
      </w:r>
      <w:r>
        <w:t xml:space="preserve"> </w:t>
      </w:r>
      <w:r>
        <w:t xml:space="preserve">holding that graph can (a) remove the integration tax, and (b) apply intelligence</w:t>
      </w:r>
      <w:r>
        <w:t xml:space="preserve"> </w:t>
      </w:r>
      <w:r>
        <w:t xml:space="preserve">across the whole lifecycle rather than within a single silo.</w:t>
      </w:r>
    </w:p>
    <w:p>
      <w:pPr>
        <w:pStyle w:val="BodyText"/>
      </w:pPr>
      <w:r>
        <w:rPr>
          <w:i/>
          <w:iCs/>
        </w:rPr>
        <w:t xml:space="preserve">[FIGURE 1 — asset: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whitepaper-assets/fig01-home-light.png</w:t>
      </w:r>
      <w:r>
        <w:rPr>
          <w:i/>
          <w:iCs/>
        </w:rPr>
        <w:t xml:space="preserve">]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Anker marketing home in light mode. Editorial serif hero —</w:t>
      </w:r>
      <w:r>
        <w:t xml:space="preserve"> </w:t>
      </w:r>
      <w:r>
        <w:rPr>
          <w:i/>
          <w:iCs/>
        </w:rPr>
        <w:t xml:space="preserve">“Your</w:t>
      </w:r>
      <w:r>
        <w:rPr>
          <w:i/>
          <w:iCs/>
        </w:rPr>
        <w:t xml:space="preserve"> </w:t>
      </w:r>
      <w:r>
        <w:rPr>
          <w:i/>
          <w:iCs/>
        </w:rPr>
        <w:t xml:space="preserve">venture ready to build”</w:t>
      </w:r>
      <w:r>
        <w:t xml:space="preserve"> </w:t>
      </w:r>
      <w:r>
        <w:t xml:space="preserve">— over a generative particle field; primary CTAs</w:t>
      </w:r>
      <w:r>
        <w:t xml:space="preserve"> </w:t>
      </w:r>
      <w:r>
        <w:rPr>
          <w:i/>
          <w:iCs/>
        </w:rPr>
        <w:t xml:space="preserve">Start Fundraising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See How It Works</w:t>
      </w:r>
      <w:r>
        <w:t xml:space="preserve">; trust bar reading</w:t>
      </w:r>
      <w:r>
        <w:t xml:space="preserve"> </w:t>
      </w:r>
      <w:r>
        <w:rPr>
          <w:b/>
          <w:bCs/>
        </w:rPr>
        <w:t xml:space="preserve">40K+</w:t>
      </w:r>
      <w:r>
        <w:t xml:space="preserve"> </w:t>
      </w:r>
      <w:r>
        <w:t xml:space="preserve">HNWIs &amp; LPs,</w:t>
      </w:r>
      <w:r>
        <w:t xml:space="preserve"> </w:t>
      </w:r>
      <w:r>
        <w:rPr>
          <w:b/>
          <w:bCs/>
        </w:rPr>
        <w:t xml:space="preserve">50+</w:t>
      </w:r>
      <w:r>
        <w:t xml:space="preserve"> </w:t>
      </w:r>
      <w:r>
        <w:t xml:space="preserve">countries,</w:t>
      </w:r>
      <w:r>
        <w:t xml:space="preserve"> </w:t>
      </w:r>
      <w:r>
        <w:rPr>
          <w:b/>
          <w:bCs/>
        </w:rPr>
        <w:t xml:space="preserve">60K+</w:t>
      </w:r>
      <w:r>
        <w:t xml:space="preserve"> </w:t>
      </w:r>
      <w:r>
        <w:t xml:space="preserve">investors in database. Top navigation exposes</w:t>
      </w:r>
      <w:r>
        <w:t xml:space="preserve"> </w:t>
      </w:r>
      <w:r>
        <w:t xml:space="preserve">Products, Solutions, Resources, and Company menus.</w:t>
      </w:r>
    </w:p>
    <w:bookmarkEnd w:id="12"/>
    <w:bookmarkStart w:id="13" w:name="positioning"/>
    <w:p>
      <w:pPr>
        <w:pStyle w:val="Heading3"/>
      </w:pPr>
      <w:r>
        <w:t xml:space="preserve">2.2 Positioning</w:t>
      </w:r>
    </w:p>
    <w:p>
      <w:pPr>
        <w:pStyle w:val="FirstParagraph"/>
      </w:pPr>
      <w:r>
        <w:t xml:space="preserve">Anker positions itself honestly as</w:t>
      </w:r>
      <w:r>
        <w:t xml:space="preserve"> </w:t>
      </w:r>
      <w:r>
        <w:rPr>
          <w:b/>
          <w:bCs/>
        </w:rPr>
        <w:t xml:space="preserve">pre-seed-stage software building toward</w:t>
      </w:r>
      <w:r>
        <w:rPr>
          <w:b/>
          <w:bCs/>
        </w:rPr>
        <w:t xml:space="preserve"> </w:t>
      </w:r>
      <w:r>
        <w:rPr>
          <w:b/>
          <w:bCs/>
        </w:rPr>
        <w:t xml:space="preserve">Carta-class parity</w:t>
      </w:r>
      <w:r>
        <w:t xml:space="preserve"> </w:t>
      </w:r>
      <w:r>
        <w:t xml:space="preserve">across three suites: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Anker Founder Suite</w:t>
            </w:r>
          </w:p>
        </w:tc>
        <w:tc>
          <w:tcPr/>
          <w:p>
            <w:pPr>
              <w:pStyle w:val="Compact"/>
            </w:pPr>
            <w:r>
              <w:t xml:space="preserve">Founders</w:t>
            </w:r>
          </w:p>
        </w:tc>
        <w:tc>
          <w:tcPr/>
          <w:p>
            <w:pPr>
              <w:pStyle w:val="Compact"/>
            </w:pPr>
            <w:r>
              <w:t xml:space="preserve">Find investors, model the round, share the data 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Anker Fund OS</w:t>
            </w:r>
          </w:p>
        </w:tc>
        <w:tc>
          <w:tcPr/>
          <w:p>
            <w:pPr>
              <w:pStyle w:val="Compact"/>
            </w:pPr>
            <w:r>
              <w:t xml:space="preserve">VCs / GPs</w:t>
            </w:r>
          </w:p>
        </w:tc>
        <w:tc>
          <w:tcPr/>
          <w:p>
            <w:pPr>
              <w:pStyle w:val="Compact"/>
            </w:pPr>
            <w:r>
              <w:t xml:space="preserve">Source deals, run fund admin, report to LPs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Anker Investor Room</w:t>
            </w:r>
          </w:p>
        </w:tc>
        <w:tc>
          <w:tcPr/>
          <w:p>
            <w:pPr>
              <w:pStyle w:val="Compact"/>
            </w:pPr>
            <w:r>
              <w:t xml:space="preserve">LPs</w:t>
            </w:r>
          </w:p>
        </w:tc>
        <w:tc>
          <w:tcPr/>
          <w:p>
            <w:pPr>
              <w:pStyle w:val="Compact"/>
            </w:pPr>
            <w:r>
              <w:t xml:space="preserve">Self-serve capital account, distributions, documents</w:t>
            </w:r>
          </w:p>
        </w:tc>
      </w:tr>
    </w:tbl>
    <w:p>
      <w:pPr>
        <w:pStyle w:val="BodyText"/>
      </w:pPr>
      <w:r>
        <w:t xml:space="preserve">The three suites are not three products; they are three</w:t>
      </w:r>
      <w:r>
        <w:t xml:space="preserve"> </w:t>
      </w:r>
      <w:r>
        <w:rPr>
          <w:b/>
          <w:bCs/>
        </w:rPr>
        <w:t xml:space="preserve">views</w:t>
      </w:r>
      <w:r>
        <w:t xml:space="preserve"> </w:t>
      </w:r>
      <w:r>
        <w:t xml:space="preserve">of one graph,</w:t>
      </w:r>
      <w:r>
        <w:t xml:space="preserve"> </w:t>
      </w:r>
      <w:r>
        <w:t xml:space="preserve">selected by the viewer’s</w:t>
      </w:r>
      <w:r>
        <w:t xml:space="preserve"> </w:t>
      </w:r>
      <w:r>
        <w:rPr>
          <w:i/>
          <w:iCs/>
        </w:rPr>
        <w:t xml:space="preserve">persona</w:t>
      </w:r>
      <w:r>
        <w:t xml:space="preserve">. This is the organizing principle of the</w:t>
      </w:r>
      <w:r>
        <w:t xml:space="preserve"> </w:t>
      </w:r>
      <w:r>
        <w:t xml:space="preserve">entire system (§4).</w:t>
      </w:r>
    </w:p>
    <w:p>
      <w:pPr>
        <w:pStyle w:val="BodyText"/>
      </w:pPr>
      <w:r>
        <w:rPr>
          <w:i/>
          <w:iCs/>
        </w:rPr>
        <w:t xml:space="preserve">[FIGURE 2 — asset: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whitepaper-assets/fig02-products-megamenu.png</w:t>
      </w:r>
      <w:r>
        <w:rPr>
          <w:i/>
          <w:iCs/>
        </w:rPr>
        <w:t xml:space="preserve">]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The Products mega-menu on the marketing site. A left rail of suite</w:t>
      </w:r>
      <w:r>
        <w:t xml:space="preserve"> </w:t>
      </w:r>
      <w:r>
        <w:t xml:space="preserve">tabs (Founder Suite / Fund OS / Investor Room) drives a right panel of features</w:t>
      </w:r>
      <w:r>
        <w:t xml:space="preserve"> </w:t>
      </w:r>
      <w:r>
        <w:t xml:space="preserve">with one-line descriptions and a</w:t>
      </w:r>
      <w:r>
        <w:t xml:space="preserve"> </w:t>
      </w:r>
      <w:r>
        <w:t xml:space="preserve">“Free for founders”</w:t>
      </w:r>
      <w:r>
        <w:t xml:space="preserve"> </w:t>
      </w:r>
      <w:r>
        <w:t xml:space="preserve">feature card.</w:t>
      </w:r>
    </w:p>
    <w:bookmarkEnd w:id="13"/>
    <w:bookmarkStart w:id="14" w:name="scale-of-the-underlying-dataset"/>
    <w:p>
      <w:pPr>
        <w:pStyle w:val="Heading3"/>
      </w:pPr>
      <w:r>
        <w:t xml:space="preserve">2.3 Scale of the underlying dataset</w:t>
      </w:r>
    </w:p>
    <w:p>
      <w:pPr>
        <w:pStyle w:val="FirstParagraph"/>
      </w:pPr>
      <w:r>
        <w:t xml:space="preserve">The investor-discovery surface is backed by a substantial real dataset — the</w:t>
      </w:r>
      <w:r>
        <w:t xml:space="preserve"> </w:t>
      </w:r>
      <w:r>
        <w:t xml:space="preserve">single largest asset in the system.</w:t>
      </w:r>
    </w:p>
    <w:p>
      <w:pPr>
        <w:pStyle w:val="BodyText"/>
      </w:pPr>
      <w:r>
        <w:rPr>
          <w:i/>
          <w:iCs/>
        </w:rPr>
        <w:t xml:space="preserve">[FIGURE 3 — asset: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whitepaper-assets/fig03-investor-database.png</w:t>
      </w:r>
      <w:r>
        <w:rPr>
          <w:i/>
          <w:iCs/>
        </w:rPr>
        <w:t xml:space="preserve">]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The public</w:t>
      </w:r>
      <w:r>
        <w:t xml:space="preserve"> </w:t>
      </w:r>
      <w:r>
        <w:rPr>
          <w:i/>
          <w:iCs/>
        </w:rPr>
        <w:t xml:space="preserve">Investor Database</w:t>
      </w:r>
      <w:r>
        <w:t xml:space="preserve"> </w:t>
      </w:r>
      <w:r>
        <w:t xml:space="preserve">page —</w:t>
      </w:r>
      <w:r>
        <w:t xml:space="preserve"> </w:t>
      </w:r>
      <w:r>
        <w:rPr>
          <w:i/>
          <w:iCs/>
        </w:rPr>
        <w:t xml:space="preserve">“Every active investor,</w:t>
      </w:r>
      <w:r>
        <w:rPr>
          <w:i/>
          <w:iCs/>
        </w:rPr>
        <w:t xml:space="preserve"> </w:t>
      </w:r>
      <w:r>
        <w:rPr>
          <w:i/>
          <w:iCs/>
        </w:rPr>
        <w:t xml:space="preserve">ranked for your round.”</w:t>
      </w:r>
      <w:r>
        <w:t xml:space="preserve"> </w:t>
      </w:r>
      <w:r>
        <w:t xml:space="preserve">Headline stats:</w:t>
      </w:r>
      <w:r>
        <w:t xml:space="preserve"> </w:t>
      </w:r>
      <w:r>
        <w:rPr>
          <w:b/>
          <w:bCs/>
        </w:rPr>
        <w:t xml:space="preserve">18,000+</w:t>
      </w:r>
      <w:r>
        <w:t xml:space="preserve"> </w:t>
      </w:r>
      <w:r>
        <w:t xml:space="preserve">firms,</w:t>
      </w:r>
      <w:r>
        <w:t xml:space="preserve"> </w:t>
      </w:r>
      <w:r>
        <w:rPr>
          <w:b/>
          <w:bCs/>
        </w:rPr>
        <w:t xml:space="preserve">47,000+</w:t>
      </w:r>
      <w:r>
        <w:t xml:space="preserve"> </w:t>
      </w:r>
      <w:r>
        <w:t xml:space="preserve">decision-makers,</w:t>
      </w:r>
      <w:r>
        <w:t xml:space="preserve"> </w:t>
      </w:r>
      <w:r>
        <w:rPr>
          <w:b/>
          <w:bCs/>
        </w:rPr>
        <w:t xml:space="preserve">84</w:t>
      </w:r>
      <w:r>
        <w:t xml:space="preserve"> </w:t>
      </w:r>
      <w:r>
        <w:t xml:space="preserve">geographies,</w:t>
      </w:r>
      <w:r>
        <w:t xml:space="preserve"> </w:t>
      </w:r>
      <w:r>
        <w:rPr>
          <w:b/>
          <w:bCs/>
        </w:rPr>
        <w:t xml:space="preserve">weekly</w:t>
      </w:r>
      <w:r>
        <w:t xml:space="preserve"> </w:t>
      </w:r>
      <w:r>
        <w:t xml:space="preserve">re-crawl/re-enrich. These are not</w:t>
      </w:r>
      <w:r>
        <w:t xml:space="preserve"> </w:t>
      </w:r>
      <w:r>
        <w:t xml:space="preserve">placeholder numbers: the production</w:t>
      </w:r>
      <w:r>
        <w:t xml:space="preserve"> </w:t>
      </w:r>
      <w:r>
        <w:rPr>
          <w:rStyle w:val="VerbatimChar"/>
        </w:rPr>
        <w:t xml:space="preserve">investors</w:t>
      </w:r>
      <w:r>
        <w:t xml:space="preserve"> </w:t>
      </w:r>
      <w:r>
        <w:t xml:space="preserve">table holds</w:t>
      </w:r>
      <w:r>
        <w:t xml:space="preserve"> </w:t>
      </w:r>
      <w:r>
        <w:rPr>
          <w:b/>
          <w:bCs/>
        </w:rPr>
        <w:t xml:space="preserve">47,275</w:t>
      </w:r>
      <w:r>
        <w:t xml:space="preserve"> </w:t>
      </w:r>
      <w:r>
        <w:t xml:space="preserve">rows at</w:t>
      </w:r>
      <w:r>
        <w:t xml:space="preserve"> </w:t>
      </w:r>
      <w:r>
        <w:t xml:space="preserve">the time of writing.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ystem-architecture"/>
    <w:p>
      <w:pPr>
        <w:pStyle w:val="Heading2"/>
      </w:pPr>
      <w:r>
        <w:t xml:space="preserve">3. System Architecture</w:t>
      </w:r>
    </w:p>
    <w:bookmarkStart w:id="16" w:name="stack"/>
    <w:p>
      <w:pPr>
        <w:pStyle w:val="Heading3"/>
      </w:pPr>
      <w:r>
        <w:t xml:space="preserve">3.1 Stack</w:t>
      </w:r>
    </w:p>
    <w:p>
      <w:pPr>
        <w:pStyle w:val="FirstParagraph"/>
      </w:pPr>
      <w:r>
        <w:t xml:space="preserve">Anker is a server-first</w:t>
      </w:r>
      <w:r>
        <w:t xml:space="preserve"> </w:t>
      </w:r>
      <w:r>
        <w:rPr>
          <w:b/>
          <w:bCs/>
        </w:rPr>
        <w:t xml:space="preserve">Next.js (App Router)</w:t>
      </w:r>
      <w:r>
        <w:t xml:space="preserve"> </w:t>
      </w:r>
      <w:r>
        <w:t xml:space="preserve">application written in</w:t>
      </w:r>
      <w:r>
        <w:t xml:space="preserve"> </w:t>
      </w:r>
      <w:r>
        <w:rPr>
          <w:b/>
          <w:bCs/>
        </w:rPr>
        <w:t xml:space="preserve">TypeScript</w:t>
      </w:r>
      <w:r>
        <w:t xml:space="preserve">, styled with</w:t>
      </w:r>
      <w:r>
        <w:t xml:space="preserve"> </w:t>
      </w:r>
      <w:r>
        <w:rPr>
          <w:b/>
          <w:bCs/>
        </w:rPr>
        <w:t xml:space="preserve">Tailwind CSS v4</w:t>
      </w:r>
      <w:r>
        <w:t xml:space="preserve">, deployed on</w:t>
      </w:r>
      <w:r>
        <w:t xml:space="preserve"> </w:t>
      </w:r>
      <w:r>
        <w:rPr>
          <w:b/>
          <w:bCs/>
        </w:rPr>
        <w:t xml:space="preserve">Vercel</w:t>
      </w:r>
      <w:r>
        <w:t xml:space="preserve">, and</w:t>
      </w:r>
      <w:r>
        <w:t xml:space="preserve"> </w:t>
      </w:r>
      <w:r>
        <w:t xml:space="preserve">backed by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(serverless Postgres). Authentication is delegated to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. The package manager is</w:t>
      </w:r>
      <w:r>
        <w:t xml:space="preserve"> </w:t>
      </w:r>
      <w:r>
        <w:rPr>
          <w:b/>
          <w:bCs/>
        </w:rPr>
        <w:t xml:space="preserve">pnpm</w:t>
      </w:r>
      <w:r>
        <w:t xml:space="preserve">. The AI layer is provider-</w:t>
      </w:r>
      <w:r>
        <w:t xml:space="preserve"> </w:t>
      </w:r>
      <w:r>
        <w:t xml:space="preserve">agnostic and routes across multiple LLM back-ends (§8).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 (browser)                        │</w:t>
      </w:r>
      <w:r>
        <w:br/>
      </w:r>
      <w:r>
        <w:rPr>
          <w:rStyle w:val="VerbatimChar"/>
        </w:rPr>
        <w:t xml:space="preserve">│   React Server Components + Client Components (Tailwind v4)      │</w:t>
      </w:r>
      <w:r>
        <w:br/>
      </w:r>
      <w:r>
        <w:rPr>
          <w:rStyle w:val="VerbatimChar"/>
        </w:rPr>
        <w:t xml:space="preserve">└───────────────▲───────────────────────────────▲────────────────┘</w:t>
      </w:r>
      <w:r>
        <w:br/>
      </w:r>
      <w:r>
        <w:rPr>
          <w:rStyle w:val="VerbatimChar"/>
        </w:rPr>
        <w:t xml:space="preserve">                │  RSC payload / HTML             │  fetch (JSON)</w:t>
      </w:r>
      <w:r>
        <w:br/>
      </w:r>
      <w:r>
        <w:rPr>
          <w:rStyle w:val="VerbatimChar"/>
        </w:rPr>
        <w:t xml:space="preserve">┌───────────────┴───────────────────────────────┴────────────────┐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│                    Next.js App Router (Vercel)                   │</w:t>
      </w:r>
      <w:r>
        <w:br/>
      </w:r>
      <w:r>
        <w:rPr>
          <w:rStyle w:val="VerbatimChar"/>
        </w:rPr>
        <w:t xml:space="preserve">│   Server Components  │  Route Handlers (/api/*)  │  Middleware    │</w:t>
      </w:r>
      <w:r>
        <w:br/>
      </w:r>
      <w:r>
        <w:rPr>
          <w:rStyle w:val="VerbatimChar"/>
        </w:rPr>
        <w:t xml:space="preserve">│   ─ persona guards   │  ─ engines' REST surface  │  ─ auth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lib/  — domain logic (pure math modules + DB-bound services)   │</w:t>
      </w:r>
      <w:r>
        <w:br/>
      </w:r>
      <w:r>
        <w:rPr>
          <w:rStyle w:val="VerbatimChar"/>
        </w:rPr>
        <w:t xml:space="preserve">│   ├─ modules/  opm-409a, loan-amortization, vesting, …           │</w:t>
      </w:r>
      <w:r>
        <w:br/>
      </w:r>
      <w:r>
        <w:rPr>
          <w:rStyle w:val="VerbatimChar"/>
        </w:rPr>
        <w:t xml:space="preserve">│   ├─ portfolio/ funds, investments, data-room, …                 │</w:t>
      </w:r>
      <w:r>
        <w:br/>
      </w:r>
      <w:r>
        <w:rPr>
          <w:rStyle w:val="VerbatimChar"/>
        </w:rPr>
        <w:t xml:space="preserve">│   ├─ ai/       model-router, embeddings, semantic-search, …      │</w:t>
      </w:r>
      <w:r>
        <w:br/>
      </w:r>
      <w:r>
        <w:rPr>
          <w:rStyle w:val="VerbatimChar"/>
        </w:rPr>
        <w:t xml:space="preserve">│   ├─ agents/   personas, outreach, portfolio-search, …           │</w:t>
      </w:r>
      <w:r>
        <w:br/>
      </w:r>
      <w:r>
        <w:rPr>
          <w:rStyle w:val="VerbatimChar"/>
        </w:rPr>
        <w:t xml:space="preserve">│   └─ billing/  stripe, billing, credit ledger                    │</w:t>
      </w:r>
      <w:r>
        <w:br/>
      </w:r>
      <w:r>
        <w:rPr>
          <w:rStyle w:val="VerbatimChar"/>
        </w:rPr>
        <w:t xml:space="preserve">├───────────────▲─────────────────────────────▲───────────────────┤</w:t>
      </w:r>
      <w:r>
        <w:br/>
      </w:r>
      <w:r>
        <w:rPr>
          <w:rStyle w:val="VerbatimChar"/>
        </w:rPr>
        <w:t xml:space="preserve">│   Supabase Auth │                Neon Postgres │  Stripe          │</w:t>
      </w:r>
      <w:r>
        <w:br/>
      </w:r>
      <w:r>
        <w:rPr>
          <w:rStyle w:val="VerbatimChar"/>
        </w:rPr>
        <w:t xml:space="preserve">│   (sessions)    │   (funds, investors, docs…)  │  (subscriptions)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└─────────────────┴──────────────────────────────┴─────────────────┘</w:t>
      </w:r>
    </w:p>
    <w:bookmarkEnd w:id="16"/>
    <w:bookmarkStart w:id="17" w:name="the-pure-math-service-split"/>
    <w:p>
      <w:pPr>
        <w:pStyle w:val="Heading3"/>
      </w:pPr>
      <w:r>
        <w:t xml:space="preserve">3.2 The pure-math / service split</w:t>
      </w:r>
    </w:p>
    <w:p>
      <w:pPr>
        <w:pStyle w:val="FirstParagraph"/>
      </w:pPr>
      <w:r>
        <w:t xml:space="preserve">A deliberate architectural decision underpins every financial engine: the</w:t>
      </w:r>
      <w:r>
        <w:t xml:space="preserve"> </w:t>
      </w:r>
      <w:r>
        <w:rPr>
          <w:b/>
          <w:bCs/>
        </w:rPr>
        <w:t xml:space="preserve">mathematics is isolated in pure, dependency-free 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lib/modules/*</w:t>
      </w:r>
      <w:r>
        <w:t xml:space="preserve">)</w:t>
      </w:r>
      <w:r>
        <w:t xml:space="preserve"> </w:t>
      </w:r>
      <w:r>
        <w:t xml:space="preserve">that import no database driver. This yields three properties: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Testability</w:t>
      </w:r>
      <w:r>
        <w:t xml:space="preserve"> </w:t>
      </w:r>
      <w:r>
        <w:t xml:space="preserve">— every formula can be exercised in isolation with known</w:t>
      </w:r>
      <w:r>
        <w:t xml:space="preserve"> </w:t>
      </w:r>
      <w:r>
        <w:t xml:space="preserve">inputs and textbook expected outputs (see §6, §16).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Isomorphic execution</w:t>
      </w:r>
      <w:r>
        <w:t xml:space="preserve"> </w:t>
      </w:r>
      <w:r>
        <w:t xml:space="preserve">— the identical function runs on the server (for</w:t>
      </w:r>
      <w:r>
        <w:t xml:space="preserve"> </w:t>
      </w:r>
      <w:r>
        <w:t xml:space="preserve">authoritative computation and persistence)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in the browser client (for</w:t>
      </w:r>
      <w:r>
        <w:t xml:space="preserve"> </w:t>
      </w:r>
      <w:r>
        <w:t xml:space="preserve">live</w:t>
      </w:r>
      <w:r>
        <w:t xml:space="preserve"> </w:t>
      </w:r>
      <w:r>
        <w:t xml:space="preserve">“as-you-type”</w:t>
      </w:r>
      <w:r>
        <w:t xml:space="preserve"> </w:t>
      </w:r>
      <w:r>
        <w:t xml:space="preserve">projections), guaranteeing the number the user sees while</w:t>
      </w:r>
      <w:r>
        <w:t xml:space="preserve"> </w:t>
      </w:r>
      <w:r>
        <w:t xml:space="preserve">editing equals the number that gets stored.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Auditability</w:t>
      </w:r>
      <w:r>
        <w:t xml:space="preserve"> </w:t>
      </w:r>
      <w:r>
        <w:t xml:space="preserve">— because the math never touches I/O, a reviewer can read a</w:t>
      </w:r>
      <w:r>
        <w:t xml:space="preserve"> </w:t>
      </w:r>
      <w:r>
        <w:t xml:space="preserve">single file and verify a valuation or a vesting schedule without tracing</w:t>
      </w:r>
      <w:r>
        <w:t xml:space="preserve"> </w:t>
      </w:r>
      <w:r>
        <w:t xml:space="preserve">through queries.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service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lib/portfolio/*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lib/modules/*-servicing.ts</w:t>
      </w:r>
      <w:r>
        <w:t xml:space="preserve">) wraps the</w:t>
      </w:r>
      <w:r>
        <w:t xml:space="preserve"> </w:t>
      </w:r>
      <w:r>
        <w:t xml:space="preserve">pure math with persistence, scoping, and the</w:t>
      </w:r>
      <w:r>
        <w:t xml:space="preserve"> </w:t>
      </w:r>
      <w:r>
        <w:rPr>
          <w:i/>
          <w:iCs/>
        </w:rPr>
        <w:t xml:space="preserve">derived-value</w:t>
      </w:r>
      <w:r>
        <w:t xml:space="preserve"> </w:t>
      </w:r>
      <w:r>
        <w:t xml:space="preserve">discipline described</w:t>
      </w:r>
      <w:r>
        <w:t xml:space="preserve"> </w:t>
      </w:r>
      <w:r>
        <w:t xml:space="preserve">next.</w:t>
      </w:r>
    </w:p>
    <w:bookmarkEnd w:id="17"/>
    <w:bookmarkStart w:id="18" w:name="the-derived-value-discipline"/>
    <w:p>
      <w:pPr>
        <w:pStyle w:val="Heading3"/>
      </w:pPr>
      <w:r>
        <w:t xml:space="preserve">3.3 The derived-value discipline</w:t>
      </w:r>
    </w:p>
    <w:p>
      <w:pPr>
        <w:pStyle w:val="FirstParagraph"/>
      </w:pPr>
      <w:r>
        <w:t xml:space="preserve">A recurring pattern:</w:t>
      </w:r>
      <w:r>
        <w:t xml:space="preserve"> </w:t>
      </w:r>
      <w:r>
        <w:rPr>
          <w:b/>
          <w:bCs/>
        </w:rPr>
        <w:t xml:space="preserve">quantities that can be computed are never hand-typed.</w:t>
      </w:r>
      <w:r>
        <w:t xml:space="preserve"> </w:t>
      </w:r>
      <w:r>
        <w:t xml:space="preserve">A loan’s outstanding balance is</w:t>
      </w:r>
      <w:r>
        <w:t xml:space="preserve"> </w:t>
      </w:r>
      <w:r>
        <w:rPr>
          <w:rStyle w:val="VerbatimChar"/>
        </w:rPr>
        <w:t xml:space="preserve">principal − Σ principal_portion</w:t>
      </w:r>
      <w:r>
        <w:t xml:space="preserve"> </w:t>
      </w:r>
      <w:r>
        <w:t xml:space="preserve">over the</w:t>
      </w:r>
      <w:r>
        <w:t xml:space="preserve"> </w:t>
      </w:r>
      <w:r>
        <w:t xml:space="preserve">payment ledger; a grant’s exercised total is</w:t>
      </w:r>
      <w:r>
        <w:t xml:space="preserve"> </w:t>
      </w:r>
      <w:r>
        <w:rPr>
          <w:rStyle w:val="VerbatimChar"/>
        </w:rPr>
        <w:t xml:space="preserve">Σ quantity</w:t>
      </w:r>
      <w:r>
        <w:t xml:space="preserve"> </w:t>
      </w:r>
      <w:r>
        <w:t xml:space="preserve">over the exercise</w:t>
      </w:r>
      <w:r>
        <w:t xml:space="preserve"> </w:t>
      </w:r>
      <w:r>
        <w:t xml:space="preserve">ledger; a fund’s called capital is the sum of capital-call line items. Each is</w:t>
      </w:r>
      <w:r>
        <w:t xml:space="preserve"> </w:t>
      </w:r>
      <w:r>
        <w:t xml:space="preserve">recomputed from its ledger after every mutation and cached in a column, rather</w:t>
      </w:r>
      <w:r>
        <w:t xml:space="preserve"> </w:t>
      </w:r>
      <w:r>
        <w:t xml:space="preserve">than being an independently-editable field that can drift from its constituents.</w:t>
      </w:r>
      <w:r>
        <w:t xml:space="preserve"> </w:t>
      </w:r>
      <w:r>
        <w:t xml:space="preserve">This eliminates an entire class of reconciliation bugs endemic to spreadsheet-</w:t>
      </w:r>
      <w:r>
        <w:t xml:space="preserve"> </w:t>
      </w:r>
      <w:r>
        <w:t xml:space="preserve">based fund and cap-table management.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identity-personas-access-control"/>
    <w:p>
      <w:pPr>
        <w:pStyle w:val="Heading2"/>
      </w:pPr>
      <w:r>
        <w:t xml:space="preserve">4. Identity, Personas &amp; Access Control</w:t>
      </w:r>
    </w:p>
    <w:bookmarkStart w:id="20" w:name="the-persona-model"/>
    <w:p>
      <w:pPr>
        <w:pStyle w:val="Heading3"/>
      </w:pPr>
      <w:r>
        <w:t xml:space="preserve">4.1 The persona model</w:t>
      </w:r>
    </w:p>
    <w:p>
      <w:pPr>
        <w:pStyle w:val="FirstParagraph"/>
      </w:pPr>
      <w:r>
        <w:t xml:space="preserve">Every navigable destination in Anker is tagged with the personas that may see it:</w:t>
      </w:r>
      <w:r>
        <w:t xml:space="preserve"> </w:t>
      </w:r>
      <w:r>
        <w:rPr>
          <w:rStyle w:val="VerbatimChar"/>
        </w:rPr>
        <w:t xml:space="preserve">personas: ["founder" | "vc" | "lp"]</w:t>
      </w:r>
      <w:r>
        <w:t xml:space="preserve">. A signed-in user resolves to an</w:t>
      </w:r>
      <w:r>
        <w:t xml:space="preserve"> </w:t>
      </w:r>
      <w:r>
        <w:rPr>
          <w:b/>
          <w:bCs/>
        </w:rPr>
        <w:t xml:space="preserve">active</w:t>
      </w:r>
      <w:r>
        <w:rPr>
          <w:b/>
          <w:bCs/>
        </w:rPr>
        <w:t xml:space="preserve"> </w:t>
      </w:r>
      <w:r>
        <w:rPr>
          <w:b/>
          <w:bCs/>
        </w:rPr>
        <w:t xml:space="preserve">persona</w:t>
      </w:r>
      <w:r>
        <w:t xml:space="preserve"> </w:t>
      </w:r>
      <w:r>
        <w:t xml:space="preserve">via their workspace membership. A user with no membership, or a</w:t>
      </w:r>
      <w:r>
        <w:t xml:space="preserve"> </w:t>
      </w:r>
      <w:r>
        <w:rPr>
          <w:b/>
          <w:bCs/>
        </w:rPr>
        <w:t xml:space="preserve">platform owner</w:t>
      </w:r>
      <w:r>
        <w:t xml:space="preserve">, resolves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which the system treats as</w:t>
      </w:r>
      <w:r>
        <w:t xml:space="preserve"> </w:t>
      </w:r>
      <w:r>
        <w:t xml:space="preserve">“sees</w:t>
      </w:r>
      <w:r>
        <w:t xml:space="preserve"> </w:t>
      </w:r>
      <w:r>
        <w:t xml:space="preserve">everything.”</w:t>
      </w:r>
    </w:p>
    <w:p>
      <w:pPr>
        <w:pStyle w:val="SourceCode"/>
      </w:pPr>
      <w:r>
        <w:rPr>
          <w:rStyle w:val="CommentTok"/>
        </w:rPr>
        <w:t xml:space="preserve">// app/dashboard/layout.tsx (paraphrased)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owner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// top platform tier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active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resolveActiveMembership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workspace membership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persona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null ⇒ unrestricted</w:t>
      </w:r>
    </w:p>
    <w:bookmarkEnd w:id="20"/>
    <w:bookmarkStart w:id="21" w:name="two-platform-tiers-vs.-workspace-roles"/>
    <w:p>
      <w:pPr>
        <w:pStyle w:val="Heading3"/>
      </w:pPr>
      <w:r>
        <w:t xml:space="preserve">4.2 Two platform tiers vs. workspace roles</w:t>
      </w:r>
    </w:p>
    <w:p>
      <w:pPr>
        <w:pStyle w:val="FirstParagraph"/>
      </w:pPr>
      <w:r>
        <w:t xml:space="preserve">Distinct from per-workspace roles, Anker has two</w:t>
      </w:r>
      <w:r>
        <w:t xml:space="preserve"> </w:t>
      </w:r>
      <w:r>
        <w:rPr>
          <w:b/>
          <w:bCs/>
        </w:rPr>
        <w:t xml:space="preserve">platform tiers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— top tier; full platform oversight (admin console, aggregate views,</w:t>
      </w:r>
      <w:r>
        <w:t xml:space="preserve"> </w:t>
      </w:r>
      <w:r>
        <w:t xml:space="preserve">the</w:t>
      </w:r>
      <w:r>
        <w:t xml:space="preserve"> </w:t>
      </w:r>
      <w:r>
        <w:t xml:space="preserve">“Pitch us”</w:t>
      </w:r>
      <w:r>
        <w:t xml:space="preserve"> </w:t>
      </w:r>
      <w:r>
        <w:t xml:space="preserve">submissions inbox), but</w:t>
      </w:r>
      <w:r>
        <w:t xml:space="preserve"> </w:t>
      </w:r>
      <w:r>
        <w:rPr>
          <w:i/>
          <w:iCs/>
        </w:rPr>
        <w:t xml:space="preserve">firewalled from tenant private records</w:t>
      </w:r>
      <w:r>
        <w:t xml:space="preserve"> </w:t>
      </w:r>
      <w:r>
        <w:t xml:space="preserve">at the data-access layer by design.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— staff operators with access to</w:t>
      </w:r>
      <w:r>
        <w:t xml:space="preserve"> </w:t>
      </w:r>
      <w:r>
        <w:rPr>
          <w:rStyle w:val="VerbatimChar"/>
        </w:rPr>
        <w:t xml:space="preserve">/dashboard/admin/*</w:t>
      </w:r>
      <w:r>
        <w:t xml:space="preserve">.</w:t>
      </w:r>
      <w:r>
        <w:t xml:space="preserve"> </w:t>
      </w:r>
      <w:r>
        <w:rPr>
          <w:rStyle w:val="VerbatimChar"/>
        </w:rPr>
        <w:t xml:space="preserve">owner ⊃ admin</w:t>
      </w:r>
      <w:r>
        <w:t xml:space="preserve">.</w:t>
      </w:r>
    </w:p>
    <w:p>
      <w:pPr>
        <w:pStyle w:val="FirstParagraph"/>
      </w:pPr>
      <w:r>
        <w:t xml:space="preserve">Route protection is centralized in a server guard that</w:t>
      </w:r>
      <w:r>
        <w:t xml:space="preserve"> </w:t>
      </w:r>
      <w:r>
        <w:rPr>
          <w:b/>
          <w:bCs/>
        </w:rPr>
        <w:t xml:space="preserve">fails safe</w:t>
      </w:r>
      <w:r>
        <w:t xml:space="preserve"> </w:t>
      </w:r>
      <w:r>
        <w:t xml:space="preserve">and always</w:t>
      </w:r>
      <w:r>
        <w:t xml:space="preserve"> </w:t>
      </w:r>
      <w:r>
        <w:t xml:space="preserve">lets owners through: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requirePersona</w:t>
      </w:r>
      <w:r>
        <w:rPr>
          <w:rStyle w:val="NormalTok"/>
        </w:rPr>
        <w:t xml:space="preserve">(allowed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Persona[])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owner bypass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active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resolveActiveMembership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persona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(persona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(persona))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(persona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registration-login"/>
    <w:p>
      <w:pPr>
        <w:pStyle w:val="Heading3"/>
      </w:pPr>
      <w:r>
        <w:t xml:space="preserve">4.3 Registration &amp; login</w:t>
      </w:r>
    </w:p>
    <w:p>
      <w:pPr>
        <w:pStyle w:val="FirstParagraph"/>
      </w:pPr>
      <w:r>
        <w:t xml:space="preserve">Registration is</w:t>
      </w:r>
      <w:r>
        <w:t xml:space="preserve"> </w:t>
      </w:r>
      <w:r>
        <w:rPr>
          <w:b/>
          <w:bCs/>
        </w:rPr>
        <w:t xml:space="preserve">invite-only and fails closed</w:t>
      </w:r>
      <w:r>
        <w:t xml:space="preserve">: the sign-up route requires a</w:t>
      </w:r>
      <w:r>
        <w:t xml:space="preserve"> </w:t>
      </w:r>
      <w:r>
        <w:t xml:space="preserve">token matching a server-side</w:t>
      </w:r>
      <w:r>
        <w:t xml:space="preserve"> </w:t>
      </w:r>
      <w:r>
        <w:rPr>
          <w:rStyle w:val="VerbatimChar"/>
        </w:rPr>
        <w:t xml:space="preserve">SIGNUP_INVITE_CODE</w:t>
      </w:r>
      <w:r>
        <w:t xml:space="preserve"> </w:t>
      </w:r>
      <w:r>
        <w:t xml:space="preserve">secret; if no code is</w:t>
      </w:r>
      <w:r>
        <w:t xml:space="preserve"> </w:t>
      </w:r>
      <w:r>
        <w:t xml:space="preserve">configured,</w:t>
      </w:r>
      <w:r>
        <w:t xml:space="preserve"> </w:t>
      </w:r>
      <w:r>
        <w:rPr>
          <w:i/>
          <w:iCs/>
        </w:rPr>
        <w:t xml:space="preserve">nobody</w:t>
      </w:r>
      <w:r>
        <w:t xml:space="preserve"> </w:t>
      </w:r>
      <w:r>
        <w:t xml:space="preserve">can register. Accounts are created through Supabase’s admin</w:t>
      </w:r>
      <w:r>
        <w:t xml:space="preserve"> </w:t>
      </w:r>
      <w:r>
        <w:t xml:space="preserve">API with the email pre-confirmed (immediate sign-in, no confirmation email) and</w:t>
      </w:r>
      <w:r>
        <w:t xml:space="preserve"> </w:t>
      </w:r>
      <w:r>
        <w:t xml:space="preserve">mirrored into a Neon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row. Login uses Supabase password auth, returns a</w:t>
      </w:r>
      <w:r>
        <w:t xml:space="preserve"> </w:t>
      </w:r>
      <w:r>
        <w:t xml:space="preserve">deliberately generic</w:t>
      </w:r>
      <w:r>
        <w:t xml:space="preserve"> </w:t>
      </w:r>
      <w:r>
        <w:rPr>
          <w:i/>
          <w:iCs/>
        </w:rPr>
        <w:t xml:space="preserve">“Invalid email or password”</w:t>
      </w:r>
      <w:r>
        <w:t xml:space="preserve"> </w:t>
      </w:r>
      <w:r>
        <w:t xml:space="preserve">(no user enumeration), and —</w:t>
      </w:r>
      <w:r>
        <w:t xml:space="preserve"> </w:t>
      </w:r>
      <w:r>
        <w:t xml:space="preserve">following a security review documented in §12 — redirects only to</w:t>
      </w:r>
      <w:r>
        <w:t xml:space="preserve"> </w:t>
      </w:r>
      <w:r>
        <w:rPr>
          <w:b/>
          <w:bCs/>
        </w:rPr>
        <w:t xml:space="preserve">internal</w:t>
      </w:r>
      <w:r>
        <w:rPr>
          <w:b/>
          <w:bCs/>
        </w:rPr>
        <w:t xml:space="preserve"> </w:t>
      </w:r>
      <w:r>
        <w:rPr>
          <w:b/>
          <w:bCs/>
        </w:rPr>
        <w:t xml:space="preserve">paths</w:t>
      </w:r>
      <w:r>
        <w:t xml:space="preserve">, closing a post-login open-redirect vector.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b53855e80aa603a32edb1560fe9cfd011ae9519"/>
    <w:p>
      <w:pPr>
        <w:pStyle w:val="Heading2"/>
      </w:pPr>
      <w:r>
        <w:t xml:space="preserve">5. The Application Shell &amp; Information Architecture</w:t>
      </w:r>
    </w:p>
    <w:p>
      <w:pPr>
        <w:pStyle w:val="FirstParagraph"/>
      </w:pPr>
      <w:r>
        <w:t xml:space="preserve">The in-app shell was rebuilt to be the</w:t>
      </w:r>
      <w:r>
        <w:t xml:space="preserve"> </w:t>
      </w:r>
      <w:r>
        <w:rPr>
          <w:i/>
          <w:iCs/>
        </w:rPr>
        <w:t xml:space="preserve">logged-in continuation of the marketing</w:t>
      </w:r>
      <w:r>
        <w:rPr>
          <w:i/>
          <w:iCs/>
        </w:rP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rather than a different-feeling product. A single</w:t>
      </w:r>
      <w:r>
        <w:t xml:space="preserve"> </w:t>
      </w:r>
      <w:r>
        <w:rPr>
          <w:b/>
          <w:bCs/>
        </w:rPr>
        <w:t xml:space="preserve">navigation taxonomy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lib/nav/taxonomy.ts</w:t>
      </w:r>
      <w:r>
        <w:t xml:space="preserve">) is the source of truth for both the public site and the</w:t>
      </w:r>
      <w:r>
        <w:t xml:space="preserve"> </w:t>
      </w:r>
      <w:r>
        <w:t xml:space="preserve">app, so the two can never drift: the suite names, the wording, and the grouping</w:t>
      </w:r>
      <w:r>
        <w:t xml:space="preserve"> </w:t>
      </w:r>
      <w:r>
        <w:t xml:space="preserve">are identical on both sides of the login.</w:t>
      </w:r>
    </w:p>
    <w:p>
      <w:pPr>
        <w:pStyle w:val="BodyText"/>
      </w:pPr>
      <w:r>
        <w:t xml:space="preserve">The redesigned shell provides: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website-style top bar</w:t>
      </w:r>
      <w:r>
        <w:t xml:space="preserve"> </w:t>
      </w:r>
      <w:r>
        <w:t xml:space="preserve">with a persona-scoped</w:t>
      </w:r>
      <w:r>
        <w:t xml:space="preserve"> </w:t>
      </w:r>
      <w:r>
        <w:rPr>
          <w:b/>
          <w:bCs/>
        </w:rPr>
        <w:t xml:space="preserve">Products mega-menu</w:t>
      </w:r>
      <w:r>
        <w:t xml:space="preserve"> </w:t>
      </w:r>
      <w:r>
        <w:t xml:space="preserve">(suite</w:t>
      </w:r>
      <w:r>
        <w:t xml:space="preserve"> </w:t>
      </w:r>
      <w:r>
        <w:t xml:space="preserve">highlights), primary links, and a persona switcher for owners.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contextual left rail</w:t>
      </w:r>
      <w:r>
        <w:t xml:space="preserve"> </w:t>
      </w:r>
      <w:r>
        <w:t xml:space="preserve">carrying the full grouped destination set for the</w:t>
      </w:r>
      <w:r>
        <w:t xml:space="preserve"> </w:t>
      </w:r>
      <w:r>
        <w:t xml:space="preserve">active suite — the density answer for GPs, who have ~28 destinations.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command palette (⌘K)</w:t>
      </w:r>
      <w:r>
        <w:t xml:space="preserve"> </w:t>
      </w:r>
      <w:r>
        <w:t xml:space="preserve">that derives its entries from the same taxonomy,</w:t>
      </w:r>
      <w:r>
        <w:t xml:space="preserve"> </w:t>
      </w:r>
      <w:r>
        <w:t xml:space="preserve">persona-scoped, searchable by description (typing</w:t>
      </w:r>
      <w:r>
        <w:t xml:space="preserve"> </w:t>
      </w:r>
      <w:r>
        <w:rPr>
          <w:i/>
          <w:iCs/>
        </w:rPr>
        <w:t xml:space="preserve">“vesting”</w:t>
      </w:r>
      <w:r>
        <w:t xml:space="preserve"> </w:t>
      </w:r>
      <w:r>
        <w:t xml:space="preserve">finds Share</w:t>
      </w:r>
      <w:r>
        <w:t xml:space="preserve"> </w:t>
      </w:r>
      <w:r>
        <w:t xml:space="preserve">Plans,</w:t>
      </w:r>
      <w:r>
        <w:t xml:space="preserve"> </w:t>
      </w:r>
      <w:r>
        <w:rPr>
          <w:i/>
          <w:iCs/>
        </w:rPr>
        <w:t xml:space="preserve">“409a”</w:t>
      </w:r>
      <w:r>
        <w:t xml:space="preserve"> </w:t>
      </w:r>
      <w:r>
        <w:t xml:space="preserve">finds the valuation engine), making it the power-user spine.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mobile</w:t>
      </w:r>
      <w:r>
        <w:t xml:space="preserve"> </w:t>
      </w:r>
      <w:r>
        <w:t xml:space="preserve">treatment: a bottom tab bar plus a full-screen sheet.</w:t>
      </w:r>
    </w:p>
    <w:p>
      <w:pPr>
        <w:pStyle w:val="FirstParagraph"/>
      </w:pPr>
      <w:r>
        <w:rPr>
          <w:i/>
          <w:iCs/>
        </w:rPr>
        <w:t xml:space="preserve">[FIGURE 4 — asset: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whitepaper-assets/fig04-app-shell.png</w:t>
      </w:r>
      <w:r>
        <w:rPr>
          <w:i/>
          <w:iCs/>
        </w:rPr>
        <w:t xml:space="preserve">]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The in-app shell (Fund OS persona). Top bar with the outline brand</w:t>
      </w:r>
      <w:r>
        <w:t xml:space="preserve"> </w:t>
      </w:r>
      <w:r>
        <w:t xml:space="preserve">mark, Products/Relationships/AI, ⌘K search, theme toggle, and the user menu; the</w:t>
      </w:r>
      <w:r>
        <w:t xml:space="preserve"> </w:t>
      </w:r>
      <w:r>
        <w:t xml:space="preserve">contextual left rail lists the fund’s ~28 destinations grouped under Source &amp;</w:t>
      </w:r>
      <w:r>
        <w:t xml:space="preserve"> </w:t>
      </w:r>
      <w:r>
        <w:t xml:space="preserve">Match, Relationships, Fund OS, Fund Services, and Studio.</w:t>
      </w:r>
    </w:p>
    <w:p>
      <w:pPr>
        <w:pStyle w:val="BodyText"/>
      </w:pPr>
      <w:r>
        <w:t xml:space="preserve">Page chrome follows the site’s editorial system:</w:t>
      </w:r>
      <w:r>
        <w:t xml:space="preserve"> </w:t>
      </w:r>
      <w:r>
        <w:rPr>
          <w:b/>
          <w:bCs/>
        </w:rPr>
        <w:t xml:space="preserve">serif display titles</w:t>
      </w:r>
      <w:r>
        <w:t xml:space="preserve"> </w:t>
      </w:r>
      <w:r>
        <w:t xml:space="preserve">(Fraunces),</w:t>
      </w:r>
      <w:r>
        <w:t xml:space="preserve"> </w:t>
      </w:r>
      <w:r>
        <w:rPr>
          <w:b/>
          <w:bCs/>
        </w:rPr>
        <w:t xml:space="preserve">mono uppercase eyebrows</w:t>
      </w:r>
      <w:r>
        <w:t xml:space="preserve"> </w:t>
      </w:r>
      <w:r>
        <w:t xml:space="preserve">with a small square accent bullet, and a</w:t>
      </w:r>
      <w:r>
        <w:t xml:space="preserve"> </w:t>
      </w:r>
      <w:r>
        <w:t xml:space="preserve">muted body — e.g. a page titled</w:t>
      </w:r>
      <w:r>
        <w:t xml:space="preserve"> </w:t>
      </w:r>
      <w:r>
        <w:rPr>
          <w:i/>
          <w:iCs/>
        </w:rPr>
        <w:t xml:space="preserve">“Fund administration, done right.”</w:t>
      </w:r>
    </w:p>
    <w:p>
      <w:r>
        <w:pict>
          <v:rect style="width:0;height:1.5pt" o:hralign="center" o:hrstd="t" o:hr="t"/>
        </w:pict>
      </w:r>
    </w:p>
    <w:bookmarkEnd w:id="24"/>
    <w:bookmarkStart w:id="35" w:name="the-tier-1-financial-engines"/>
    <w:p>
      <w:pPr>
        <w:pStyle w:val="Heading2"/>
      </w:pPr>
      <w:r>
        <w:t xml:space="preserve">6. The Tier-1 Financial Engines</w:t>
      </w:r>
    </w:p>
    <w:p>
      <w:pPr>
        <w:pStyle w:val="FirstParagraph"/>
      </w:pPr>
      <w:r>
        <w:t xml:space="preserve">Anker’s differentiator is that these are</w:t>
      </w:r>
      <w:r>
        <w:t xml:space="preserve"> </w:t>
      </w:r>
      <w:r>
        <w:rPr>
          <w:b/>
          <w:bCs/>
        </w:rPr>
        <w:t xml:space="preserve">real engines</w:t>
      </w:r>
      <w:r>
        <w:t xml:space="preserve">, not forms. Each ships</w:t>
      </w:r>
      <w:r>
        <w:t xml:space="preserve"> </w:t>
      </w:r>
      <w:r>
        <w:t xml:space="preserve">as a pure-math module verified against textbook results, a server service that</w:t>
      </w:r>
      <w:r>
        <w:t xml:space="preserve"> </w:t>
      </w:r>
      <w:r>
        <w:t xml:space="preserve">persists and scopes, a REST surface, and a detail UI that projects live.</w:t>
      </w:r>
    </w:p>
    <w:bookmarkStart w:id="29" w:name="X92196c02e288d6cd03f67c65125006d9ebc311c"/>
    <w:p>
      <w:pPr>
        <w:pStyle w:val="Heading3"/>
      </w:pPr>
      <w:r>
        <w:t xml:space="preserve">6.1 The 409A / Option-Pricing-Model Valuation Engine</w:t>
      </w:r>
    </w:p>
    <w:p>
      <w:pPr>
        <w:pStyle w:val="FirstParagraph"/>
      </w:pPr>
      <w:r>
        <w:t xml:space="preserve">A 409A valuation sets the fair market value (FMV) of a company’s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stock</w:t>
      </w:r>
      <w:r>
        <w:t xml:space="preserve"> </w:t>
      </w:r>
      <w:r>
        <w:t xml:space="preserve">— the basis for option strike prices — typically well below the preferred price</w:t>
      </w:r>
      <w:r>
        <w:t xml:space="preserve"> </w:t>
      </w:r>
      <w:r>
        <w:t xml:space="preserve">paid by investors, because common stock lacks the liquidation and other</w:t>
      </w:r>
      <w:r>
        <w:t xml:space="preserve"> </w:t>
      </w:r>
      <w:r>
        <w:t xml:space="preserve">preferences of preferred. Anker computes this with the</w:t>
      </w:r>
      <w:r>
        <w:t xml:space="preserve"> </w:t>
      </w:r>
      <w:r>
        <w:rPr>
          <w:b/>
          <w:bCs/>
        </w:rPr>
        <w:t xml:space="preserve">Option Pricing Model</w:t>
      </w:r>
      <w:r>
        <w:rPr>
          <w:b/>
          <w:bCs/>
        </w:rPr>
        <w:t xml:space="preserve"> </w:t>
      </w:r>
      <w:r>
        <w:rPr>
          <w:b/>
          <w:bCs/>
        </w:rPr>
        <w:t xml:space="preserve">(OPM)</w:t>
      </w:r>
      <w:r>
        <w:t xml:space="preserve">, the market-standard back-solve method, treating each class of equity as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call option</w:t>
      </w:r>
      <w:r>
        <w:t xml:space="preserve"> </w:t>
      </w:r>
      <w:r>
        <w:t xml:space="preserve">on the company’s total equity value.</w:t>
      </w:r>
    </w:p>
    <w:bookmarkStart w:id="25" w:name="blackscholes-as-the-primitive"/>
    <w:p>
      <w:pPr>
        <w:pStyle w:val="Heading4"/>
      </w:pPr>
      <w:r>
        <w:t xml:space="preserve">6.1.1 Black–Scholes as the primitive</w:t>
      </w:r>
    </w:p>
    <w:p>
      <w:pPr>
        <w:pStyle w:val="FirstParagraph"/>
      </w:pPr>
      <w:r>
        <w:t xml:space="preserve">The OPM prices equity claims as European call options on total equity value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struck at each</w:t>
      </w:r>
      <w:r>
        <w:t xml:space="preserve"> </w:t>
      </w:r>
      <w:r>
        <w:rPr>
          <w:b/>
          <w:bCs/>
        </w:rPr>
        <w:t xml:space="preserve">breakpoint</w:t>
      </w:r>
      <w:r>
        <w:t xml:space="preserve">. The Black–Scholes call price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t> 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t> 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T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σ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total equity value,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= strike (a breakpoint),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= equity</w:t>
      </w:r>
      <w:r>
        <w:t xml:space="preserve"> </w:t>
      </w:r>
      <w:r>
        <w:t xml:space="preserve">volatility,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= risk-free rate,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= years to a liquidity event, and</w:t>
      </w:r>
      <w:r>
        <w:t xml:space="preserve"> </w:t>
      </w:r>
      <w:r>
        <w:rPr>
          <w:rStyle w:val="VerbatimChar"/>
        </w:rPr>
        <w:t xml:space="preserve">Φ</w:t>
      </w:r>
      <w:r>
        <w:t xml:space="preserve"> </w:t>
      </w:r>
      <w:r>
        <w:t xml:space="preserve">is</w:t>
      </w:r>
      <w:r>
        <w:t xml:space="preserve"> </w:t>
      </w:r>
      <w:r>
        <w:t xml:space="preserve">the standard-normal CDF. Anker implements</w:t>
      </w:r>
      <w:r>
        <w:t xml:space="preserve"> </w:t>
      </w:r>
      <w:r>
        <w:rPr>
          <w:rStyle w:val="VerbatimChar"/>
        </w:rPr>
        <w:t xml:space="preserve">Φ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Abramowitz–Stegun</w:t>
      </w:r>
      <w:r>
        <w:t xml:space="preserve"> </w:t>
      </w:r>
      <w:r>
        <w:t xml:space="preserve">rational approximation (max abs error ≈ 7.5·10⁻⁸), so no numerical library is</w:t>
      </w:r>
      <w:r>
        <w:t xml:space="preserve"> </w:t>
      </w:r>
      <w:r>
        <w:t xml:space="preserve">required and the module stays pure. A boundary property used as a unit test:</w:t>
      </w:r>
      <w:r>
        <w:t xml:space="preserve"> </w:t>
      </w:r>
      <w:r>
        <w:rPr>
          <w:rStyle w:val="VerbatimChar"/>
        </w:rPr>
        <w:t xml:space="preserve">C(S, 0) = 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C(0, K) = 0</w:t>
      </w:r>
      <w:r>
        <w:t xml:space="preserve">.</w:t>
      </w:r>
    </w:p>
    <w:bookmarkEnd w:id="25"/>
    <w:bookmarkStart w:id="26" w:name="two-class-waterfall-breakpoints"/>
    <w:p>
      <w:pPr>
        <w:pStyle w:val="Heading4"/>
      </w:pPr>
      <w:r>
        <w:t xml:space="preserve">6.1.2 Two-class waterfall &amp; breakpoints</w:t>
      </w:r>
    </w:p>
    <w:p>
      <w:pPr>
        <w:pStyle w:val="FirstParagraph"/>
      </w:pPr>
      <w:r>
        <w:t xml:space="preserve">With one round of preferred (liquidation preference</w:t>
      </w:r>
      <w:r>
        <w:t xml:space="preserve"> </w:t>
      </w:r>
      <w:r>
        <w:rPr>
          <w:rStyle w:val="VerbatimChar"/>
        </w:rPr>
        <w:t xml:space="preserve">LP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= preferred %</w:t>
      </w:r>
      <w:r>
        <w:t xml:space="preserve"> </w:t>
      </w:r>
      <w:r>
        <w:t xml:space="preserve">ownership fully-diluted) and common, total equity value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is allocated across</w:t>
      </w:r>
      <w:r>
        <w:t xml:space="preserve"> </w:t>
      </w:r>
      <w:r>
        <w:rPr>
          <w:b/>
          <w:bCs/>
        </w:rPr>
        <w:t xml:space="preserve">two breakpoints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[0, LP)</w:t>
      </w:r>
      <w:r>
        <w:t xml:space="preserve"> </w:t>
      </w:r>
      <w:r>
        <w:t xml:space="preserve">— only preferred participates (it takes its preference first).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[LP, CP)</w:t>
      </w:r>
      <w:r>
        <w:t xml:space="preserve"> </w:t>
      </w:r>
      <w:r>
        <w:t xml:space="preserve">— only common participates (preferred has been satisfied but has</w:t>
      </w:r>
      <w:r>
        <w:t xml:space="preserve"> </w:t>
      </w:r>
      <w:r>
        <w:t xml:space="preserve">not yet converted).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[CP, ∞)</w:t>
      </w:r>
      <w:r>
        <w:t xml:space="preserve"> </w:t>
      </w:r>
      <w:r>
        <w:t xml:space="preserve">— pro-rata to all, where the</w:t>
      </w:r>
      <w:r>
        <w:t xml:space="preserve"> </w:t>
      </w:r>
      <w:r>
        <w:rPr>
          <w:b/>
          <w:bCs/>
        </w:rPr>
        <w:t xml:space="preserve">conversion point</w:t>
      </w:r>
      <w:r>
        <w:t xml:space="preserve"> </w:t>
      </w:r>
      <w:r>
        <w:rPr>
          <w:rStyle w:val="VerbatimChar"/>
        </w:rPr>
        <w:t xml:space="preserve">CP = LP / p</w:t>
      </w:r>
      <w:r>
        <w:t xml:space="preserve"> </w:t>
      </w:r>
      <w:r>
        <w:t xml:space="preserve">is</w:t>
      </w:r>
      <w:r>
        <w:t xml:space="preserve"> </w:t>
      </w:r>
      <w:r>
        <w:t xml:space="preserve">the value at which preferred is indifferent between its preference and</w:t>
      </w:r>
      <w:r>
        <w:t xml:space="preserve"> </w:t>
      </w:r>
      <w:r>
        <w:t xml:space="preserve">converting to common.</w:t>
      </w:r>
    </w:p>
    <w:p>
      <w:pPr>
        <w:pStyle w:val="FirstParagraph"/>
      </w:pPr>
      <w:r>
        <w:t xml:space="preserve">Each interval’s value to a class is the difference of two Black–Scholes calls</w:t>
      </w:r>
      <w:r>
        <w:t xml:space="preserve"> </w:t>
      </w:r>
      <w:r>
        <w:t xml:space="preserve">struck at the interval’s endpoints (a</w:t>
      </w:r>
      <w:r>
        <w:t xml:space="preserve"> </w:t>
      </w:r>
      <w:r>
        <w:rPr>
          <w:i/>
          <w:iCs/>
        </w:rPr>
        <w:t xml:space="preserve">call spread</w:t>
      </w:r>
      <w:r>
        <w:t xml:space="preserve">), which is exactly how option</w:t>
      </w:r>
      <w:r>
        <w:t xml:space="preserve"> </w:t>
      </w:r>
      <w:r>
        <w:t xml:space="preserve">math partitions payoff regions. The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allocation is 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common</m:t>
              </m:r>
            </m:sub>
          </m:sSub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C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t> </m:t>
          </m:r>
          <m:r>
            <m:t>C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C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bookmarkStart w:id="27" w:name="the-back-solve"/>
    <w:p>
      <w:pPr>
        <w:pStyle w:val="Heading4"/>
      </w:pPr>
      <w:r>
        <w:t xml:space="preserve">6.1.3 The back-solve</w:t>
      </w:r>
    </w:p>
    <w:p>
      <w:pPr>
        <w:pStyle w:val="FirstParagraph"/>
      </w:pPr>
      <w:r>
        <w:t xml:space="preserve">The observed recent-round</w:t>
      </w:r>
      <w:r>
        <w:t xml:space="preserve"> </w:t>
      </w:r>
      <w:r>
        <w:rPr>
          <w:b/>
          <w:bCs/>
        </w:rPr>
        <w:t xml:space="preserve">preferred price</w:t>
      </w:r>
      <w:r>
        <w:t xml:space="preserve"> </w:t>
      </w:r>
      <w:r>
        <w:t xml:space="preserve">implies the market’s view of total</w:t>
      </w:r>
      <w:r>
        <w:t xml:space="preserve"> </w:t>
      </w:r>
      <w:r>
        <w:t xml:space="preserve">equity value. Anker solves for the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such that the OPM-allocated value of</w:t>
      </w:r>
      <w:r>
        <w:t xml:space="preserve"> </w:t>
      </w:r>
      <w:r>
        <w:t xml:space="preserve">preferred equals</w:t>
      </w:r>
      <w:r>
        <w:t xml:space="preserve"> </w:t>
      </w:r>
      <w:r>
        <w:rPr>
          <w:rStyle w:val="VerbatimChar"/>
        </w:rPr>
        <w:t xml:space="preserve">preferredShares × recentPrice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find </m:t>
          </m:r>
          <m:r>
            <m:t>W</m:t>
          </m:r>
          <m:r>
            <m:t> </m:t>
          </m:r>
          <m:r>
            <m:rPr>
              <m:nor/>
              <m:sty m:val="p"/>
            </m:rPr>
            <m:t>s.t.</m:t>
          </m:r>
          <m:r>
            <m:t> 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preferred</m:t>
              </m:r>
            </m:sub>
          </m:sSub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prefShares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recentPrice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via</w:t>
      </w:r>
      <w:r>
        <w:t xml:space="preserve"> </w:t>
      </w:r>
      <w:r>
        <w:rPr>
          <w:b/>
          <w:bCs/>
        </w:rPr>
        <w:t xml:space="preserve">bisection</w:t>
      </w:r>
      <w:r>
        <w:t xml:space="preserve"> </w:t>
      </w:r>
      <w:r>
        <w:t xml:space="preserve">(robust, monotone objective, no derivative needed) to a tight</w:t>
      </w:r>
      <w:r>
        <w:t xml:space="preserve"> </w:t>
      </w:r>
      <w:r>
        <w:t xml:space="preserve">tolerance. The per-share common FMV is then</w:t>
      </w:r>
      <w:r>
        <w:t xml:space="preserve"> </w:t>
      </w:r>
      <w:r>
        <w:rPr>
          <w:rStyle w:val="VerbatimChar"/>
        </w:rPr>
        <w:t xml:space="preserve">V_common(W*) / commonShares</w:t>
      </w:r>
      <w:r>
        <w:t xml:space="preserve">,</w:t>
      </w:r>
      <w:r>
        <w:t xml:space="preserve"> </w:t>
      </w:r>
      <w:r>
        <w:t xml:space="preserve">optionally reduced by a</w:t>
      </w:r>
      <w:r>
        <w:t xml:space="preserve"> </w:t>
      </w:r>
      <w:r>
        <w:rPr>
          <w:b/>
          <w:bCs/>
        </w:rPr>
        <w:t xml:space="preserve">discount for lack of marketability (DLOM)</w:t>
      </w:r>
      <w:r>
        <w:t xml:space="preserve">.</w:t>
      </w:r>
    </w:p>
    <w:bookmarkEnd w:id="27"/>
    <w:bookmarkStart w:id="28" w:name="worked-verification"/>
    <w:p>
      <w:pPr>
        <w:pStyle w:val="Heading4"/>
      </w:pPr>
      <w:r>
        <w:t xml:space="preserve">6.1.4 Worked verification</w:t>
      </w:r>
    </w:p>
    <w:p>
      <w:pPr>
        <w:pStyle w:val="FirstParagraph"/>
      </w:pPr>
      <w:r>
        <w:t xml:space="preserve">For a company with</w:t>
      </w:r>
      <w:r>
        <w:t xml:space="preserve"> </w:t>
      </w:r>
      <w:r>
        <w:rPr>
          <w:b/>
          <w:bCs/>
        </w:rPr>
        <w:t xml:space="preserve">8,000,000</w:t>
      </w:r>
      <w:r>
        <w:t xml:space="preserve"> </w:t>
      </w:r>
      <w:r>
        <w:t xml:space="preserve">common and</w:t>
      </w:r>
      <w:r>
        <w:t xml:space="preserve"> </w:t>
      </w:r>
      <w:r>
        <w:rPr>
          <w:b/>
          <w:bCs/>
        </w:rPr>
        <w:t xml:space="preserve">2,000,000</w:t>
      </w:r>
      <w:r>
        <w:t xml:space="preserve"> </w:t>
      </w:r>
      <w:r>
        <w:t xml:space="preserve">preferred at a recent</w:t>
      </w:r>
      <w:r>
        <w:t xml:space="preserve"> </w:t>
      </w:r>
      <w:r>
        <w:t xml:space="preserve">preferred price of</w:t>
      </w:r>
      <w:r>
        <w:t xml:space="preserve"> </w:t>
      </w:r>
      <w:r>
        <w:rPr>
          <w:b/>
          <w:bCs/>
        </w:rPr>
        <w:t xml:space="preserve">$1.00</w:t>
      </w:r>
      <w:r>
        <w:t xml:space="preserve"> </w:t>
      </w:r>
      <w:r>
        <w:t xml:space="preserve">(σ = 0.6, r = 0.04, T = 4, DLOM off), the back-solve</w:t>
      </w:r>
      <w:r>
        <w:t xml:space="preserve"> </w:t>
      </w:r>
      <w:r>
        <w:t xml:space="preserve">recovers a total equity value at which preferred is worth exactly</w:t>
      </w:r>
      <w:r>
        <w:t xml:space="preserve"> </w:t>
      </w:r>
      <w:r>
        <w:rPr>
          <w:b/>
          <w:bCs/>
        </w:rPr>
        <w:t xml:space="preserve">$2,000,000</w:t>
      </w:r>
      <w:r>
        <w:t xml:space="preserve">,</w:t>
      </w:r>
      <w:r>
        <w:t xml:space="preserve"> </w:t>
      </w:r>
      <w:r>
        <w:t xml:space="preserve">and the common FMV solves to</w:t>
      </w:r>
      <w:r>
        <w:t xml:space="preserve"> </w:t>
      </w:r>
      <w:r>
        <w:rPr>
          <w:b/>
          <w:bCs/>
        </w:rPr>
        <w:t xml:space="preserve">≈ $0.4441</w:t>
      </w:r>
      <w:r>
        <w:t xml:space="preserve"> </w:t>
      </w:r>
      <w:r>
        <w:t xml:space="preserve">— i.e. common is marked at ≈</w:t>
      </w:r>
      <w:r>
        <w:t xml:space="preserve"> </w:t>
      </w:r>
      <w:r>
        <w:rPr>
          <w:b/>
          <w:bCs/>
        </w:rPr>
        <w:t xml:space="preserve">44%</w:t>
      </w:r>
      <w:r>
        <w:t xml:space="preserve"> </w:t>
      </w:r>
      <w:r>
        <w:t xml:space="preserve">of the preferred price, the expected discount for a two-class structure at this</w:t>
      </w:r>
      <w:r>
        <w:t xml:space="preserve"> </w:t>
      </w:r>
      <w:r>
        <w:t xml:space="preserve">maturity. This is the module’s canonical regression test.</w:t>
      </w:r>
    </w:p>
    <w:p>
      <w:pPr>
        <w:pStyle w:val="BlockText"/>
      </w:pPr>
      <w:r>
        <w:rPr>
          <w:b/>
          <w:bCs/>
        </w:rPr>
        <w:t xml:space="preserve">Caveat (stated in the product’s own methodology writeup):</w:t>
      </w:r>
      <w:r>
        <w:t xml:space="preserve"> </w:t>
      </w:r>
      <w:r>
        <w:t xml:space="preserve">the two-class OPM</w:t>
      </w:r>
      <w:r>
        <w:t xml:space="preserve"> </w:t>
      </w:r>
      <w:r>
        <w:t xml:space="preserve">is appropriate for a single preferred series with a non-participating</w:t>
      </w:r>
      <w:r>
        <w:t xml:space="preserve"> </w:t>
      </w:r>
      <w:r>
        <w:t xml:space="preserve">preference. Multi-series stacks, participating preferred, and safe-harbor</w:t>
      </w:r>
      <w:r>
        <w:t xml:space="preserve"> </w:t>
      </w:r>
      <w:r>
        <w:t xml:space="preserve">reliance require a fuller waterfall and an independent appraisal.</w:t>
      </w:r>
    </w:p>
    <w:p>
      <w:pPr>
        <w:pStyle w:val="FirstParagraph"/>
      </w:pPr>
      <w:r>
        <w:rPr>
          <w:i/>
          <w:iCs/>
        </w:rPr>
        <w:t xml:space="preserve">[FIGURE 5 — asset: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whitepaper-assets/fig05-409a-detail.png</w:t>
      </w:r>
      <w:r>
        <w:rPr>
          <w:i/>
          <w:iCs/>
        </w:rPr>
        <w:t xml:space="preserve">]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The 409A engine detail view — common FMV updates live as OPM inputs</w:t>
      </w:r>
      <w:r>
        <w:t xml:space="preserve"> </w:t>
      </w:r>
      <w:r>
        <w:t xml:space="preserve">are typed; a breakpoint-allocation table shows the value assigned to each class</w:t>
      </w:r>
      <w:r>
        <w:t xml:space="preserve"> </w:t>
      </w:r>
      <w:r>
        <w:t xml:space="preserve">across the [0, LP), [LP, CP), [CP, ∞) intervals; a methodology writeup and a</w:t>
      </w:r>
      <w:r>
        <w:t xml:space="preserve"> </w:t>
      </w:r>
      <w:r>
        <w:t xml:space="preserve">downloadable board-approval report round it out.</w:t>
      </w:r>
    </w:p>
    <w:bookmarkEnd w:id="28"/>
    <w:bookmarkEnd w:id="29"/>
    <w:bookmarkStart w:id="32" w:name="the-loan-servicing-private-credit-engine"/>
    <w:p>
      <w:pPr>
        <w:pStyle w:val="Heading3"/>
      </w:pPr>
      <w:r>
        <w:t xml:space="preserve">6.2 The Loan-Servicing (Private-Credit) Engine</w:t>
      </w:r>
    </w:p>
    <w:p>
      <w:pPr>
        <w:pStyle w:val="FirstParagraph"/>
      </w:pPr>
      <w:r>
        <w:t xml:space="preserve">For funds that extend venture debt or run credit strategies, Anker services loans</w:t>
      </w:r>
      <w:r>
        <w:t xml:space="preserve"> </w:t>
      </w:r>
      <w:r>
        <w:t xml:space="preserve">end-to-end: schedule generation, interest accrual, a payment ledger with an</w:t>
      </w:r>
      <w:r>
        <w:t xml:space="preserve"> </w:t>
      </w:r>
      <w:r>
        <w:t xml:space="preserve">interest-first split, and covenant tracking.</w:t>
      </w:r>
    </w:p>
    <w:bookmarkStart w:id="30" w:name="amortization"/>
    <w:p>
      <w:pPr>
        <w:pStyle w:val="Heading4"/>
      </w:pPr>
      <w:r>
        <w:t xml:space="preserve">6.2.1 Amortization</w:t>
      </w:r>
    </w:p>
    <w:p>
      <w:pPr>
        <w:pStyle w:val="FirstParagraph"/>
      </w:pPr>
      <w:r>
        <w:t xml:space="preserve">The engine supports four structures. For a fully-amortizing loan, the</w:t>
      </w:r>
      <w:r>
        <w:t xml:space="preserve"> </w:t>
      </w:r>
      <w:r>
        <w:rPr>
          <w:b/>
          <w:bCs/>
        </w:rPr>
        <w:t xml:space="preserve">level</w:t>
      </w:r>
      <w:r>
        <w:rPr>
          <w:b/>
          <w:bCs/>
        </w:rPr>
        <w:t xml:space="preserve"> </w:t>
      </w:r>
      <w:r>
        <w:rPr>
          <w:b/>
          <w:bCs/>
        </w:rPr>
        <w:t xml:space="preserve">payment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on principal</w:t>
      </w:r>
      <w:r>
        <w:t xml:space="preserve"> </w:t>
      </w:r>
      <w:r>
        <w:rPr>
          <w:rStyle w:val="VerbatimChar"/>
        </w:rPr>
        <w:t xml:space="preserve">P</w:t>
      </w:r>
      <w:r>
        <w:t xml:space="preserve">, periodic rate</w:t>
      </w:r>
      <w:r>
        <w:t xml:space="preserve"> </w:t>
      </w:r>
      <w:r>
        <w:rPr>
          <w:rStyle w:val="VerbatimChar"/>
        </w:rPr>
        <w:t xml:space="preserve">i = APR/f</w:t>
      </w:r>
      <w:r>
        <w:t xml:space="preserve"> </w:t>
      </w:r>
      <w:r>
        <w:t xml:space="preserve">(frequency</w:t>
      </w:r>
      <w:r>
        <w:t xml:space="preserve"> </w:t>
      </w:r>
      <w:r>
        <w:rPr>
          <w:rStyle w:val="VerbatimChar"/>
        </w:rPr>
        <w:t xml:space="preserve">f</w:t>
      </w:r>
      <w:r>
        <w:t xml:space="preserve">), over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periods is the standard annuity formula: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i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period splits into</w:t>
      </w:r>
      <w:r>
        <w:t xml:space="preserve"> </w:t>
      </w:r>
      <w:r>
        <w:rPr>
          <w:rStyle w:val="VerbatimChar"/>
        </w:rPr>
        <w:t xml:space="preserve">interest_t = i · balance_{t-1}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principal_t = A − interest_t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balance_t = balance_{t-1} − principal_t</w:t>
      </w:r>
      <w:r>
        <w:t xml:space="preserve">.</w:t>
      </w:r>
      <w:r>
        <w:t xml:space="preserve"> </w:t>
      </w:r>
      <w:r>
        <w:t xml:space="preserve">Interest-only-with-balloon pays</w:t>
      </w:r>
      <w:r>
        <w:t xml:space="preserve"> </w:t>
      </w:r>
      <w:r>
        <w:rPr>
          <w:rStyle w:val="VerbatimChar"/>
        </w:rPr>
        <w:t xml:space="preserve">i · P</w:t>
      </w:r>
      <w:r>
        <w:t xml:space="preserve"> </w:t>
      </w:r>
      <w:r>
        <w:t xml:space="preserve">each period and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at maturity; a bullet</w:t>
      </w:r>
      <w:r>
        <w:t xml:space="preserve"> </w:t>
      </w:r>
      <w:r>
        <w:t xml:space="preserve">pays all principal and accrued interest at a single maturity; a revolving line</w:t>
      </w:r>
      <w:r>
        <w:t xml:space="preserve"> </w:t>
      </w:r>
      <w:r>
        <w:t xml:space="preserve">accrues on the drawn balance with no fixed schedule.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$100,000 at 12% APR over 12 monthly periods yields a level</w:t>
      </w:r>
      <w:r>
        <w:t xml:space="preserve"> </w:t>
      </w:r>
      <w:r>
        <w:t xml:space="preserve">payment of</w:t>
      </w:r>
      <w:r>
        <w:t xml:space="preserve"> </w:t>
      </w:r>
      <w:r>
        <w:rPr>
          <w:b/>
          <w:bCs/>
        </w:rPr>
        <w:t xml:space="preserve">$8,884.88</w:t>
      </w:r>
      <w:r>
        <w:t xml:space="preserve">, matching the textbook annuity value.</w:t>
      </w:r>
    </w:p>
    <w:bookmarkEnd w:id="30"/>
    <w:bookmarkStart w:id="31" w:name="accrual-the-interest-first-ledger"/>
    <w:p>
      <w:pPr>
        <w:pStyle w:val="Heading4"/>
      </w:pPr>
      <w:r>
        <w:t xml:space="preserve">6.2.2 Accrual &amp; the interest-first ledger</w:t>
      </w:r>
    </w:p>
    <w:p>
      <w:pPr>
        <w:pStyle w:val="FirstParagraph"/>
      </w:pPr>
      <w:r>
        <w:t xml:space="preserve">Between scheduled payments, interest accrues on an</w:t>
      </w:r>
      <w:r>
        <w:t xml:space="preserve"> </w:t>
      </w:r>
      <w:r>
        <w:rPr>
          <w:b/>
          <w:bCs/>
        </w:rPr>
        <w:t xml:space="preserve">Actual/365</w:t>
      </w:r>
      <w:r>
        <w:t xml:space="preserve"> </w:t>
      </w:r>
      <w:r>
        <w:t xml:space="preserve">basis: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accrued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balance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APR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days</m:t>
                  </m:r>
                </m:sub>
              </m:sSub>
            </m:num>
            <m:den>
              <m:r>
                <m:t>365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a payment is recorded, the engine computes accrued interest since the last</w:t>
      </w:r>
      <w:r>
        <w:t xml:space="preserve"> </w:t>
      </w:r>
      <w:r>
        <w:t xml:space="preserve">payment, applies the payment</w:t>
      </w:r>
      <w:r>
        <w:t xml:space="preserve"> </w:t>
      </w:r>
      <w:r>
        <w:rPr>
          <w:b/>
          <w:bCs/>
        </w:rPr>
        <w:t xml:space="preserve">interest-first</w:t>
      </w:r>
      <w:r>
        <w:t xml:space="preserve">, and books the remainder to</w:t>
      </w:r>
      <w:r>
        <w:t xml:space="preserve"> </w:t>
      </w:r>
      <w:r>
        <w:t xml:space="preserve">principal — then recomputes the outstanding balance from the ledger</w:t>
      </w:r>
      <w:r>
        <w:t xml:space="preserve"> </w:t>
      </w:r>
      <w:r>
        <w:t xml:space="preserve">(§3.3). Covenants (financial, reporting, affirmative, negative) are tracked with</w:t>
      </w:r>
      <w:r>
        <w:t xml:space="preserve"> </w:t>
      </w:r>
      <w:r>
        <w:t xml:space="preserve">status (ok / at-risk / breached / waived) and a tested-at date.</w:t>
      </w:r>
    </w:p>
    <w:p>
      <w:pPr>
        <w:pStyle w:val="BodyText"/>
      </w:pPr>
      <w:r>
        <w:rPr>
          <w:i/>
          <w:iCs/>
        </w:rPr>
        <w:t xml:space="preserve">[FIGURE 6 — asset: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whitepaper-assets/fig06-loan-detail.png</w:t>
      </w:r>
      <w:r>
        <w:rPr>
          <w:i/>
          <w:iCs/>
        </w:rPr>
        <w:t xml:space="preserve">]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Loan-servicing detail — summary tiles (principal, outstanding, rate,</w:t>
      </w:r>
      <w:r>
        <w:t xml:space="preserve"> </w:t>
      </w:r>
      <w:r>
        <w:t xml:space="preserve">accrued interest, interest paid), a repayment-progress bar, editable terms that</w:t>
      </w:r>
      <w:r>
        <w:t xml:space="preserve"> </w:t>
      </w:r>
      <w:r>
        <w:t xml:space="preserve">re-project the amortization schedule, the payment ledger with live interest/</w:t>
      </w:r>
      <w:r>
        <w:t xml:space="preserve"> </w:t>
      </w:r>
      <w:r>
        <w:t xml:space="preserve">principal split, and the covenant tracker.</w:t>
      </w:r>
    </w:p>
    <w:bookmarkEnd w:id="31"/>
    <w:bookmarkEnd w:id="32"/>
    <w:bookmarkStart w:id="34" w:name="the-share-plans-equity-vesting-engine"/>
    <w:p>
      <w:pPr>
        <w:pStyle w:val="Heading3"/>
      </w:pPr>
      <w:r>
        <w:t xml:space="preserve">6.3 The Share-Plans (Equity Vesting) Engine</w:t>
      </w:r>
    </w:p>
    <w:p>
      <w:pPr>
        <w:pStyle w:val="FirstParagraph"/>
      </w:pPr>
      <w:r>
        <w:t xml:space="preserve">The founder-side equity engine models option pools, grants, and</w:t>
      </w:r>
      <w:r>
        <w:t xml:space="preserve"> </w:t>
      </w:r>
      <w:r>
        <w:rPr>
          <w:b/>
          <w:bCs/>
        </w:rPr>
        <w:t xml:space="preserve">vesting</w:t>
      </w:r>
      <w:r>
        <w:t xml:space="preserve"> </w:t>
      </w:r>
      <w:r>
        <w:t xml:space="preserve">with</w:t>
      </w:r>
      <w:r>
        <w:t xml:space="preserve"> </w:t>
      </w:r>
      <w:r>
        <w:t xml:space="preserve">cliff semantics, plus an exercise ledger.</w:t>
      </w:r>
    </w:p>
    <w:bookmarkStart w:id="33" w:name="vesting-mathematics"/>
    <w:p>
      <w:pPr>
        <w:pStyle w:val="Heading4"/>
      </w:pPr>
      <w:r>
        <w:t xml:space="preserve">6.3.1 Vesting mathematics</w:t>
      </w:r>
    </w:p>
    <w:p>
      <w:pPr>
        <w:pStyle w:val="FirstParagraph"/>
      </w:pPr>
      <w:r>
        <w:t xml:space="preserve">For a grant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options with vesting start</w:t>
      </w:r>
      <w:r>
        <w:t xml:space="preserve"> </w:t>
      </w:r>
      <w:r>
        <w:rPr>
          <w:rStyle w:val="VerbatimChar"/>
        </w:rPr>
        <w:t xml:space="preserve">t_0</w:t>
      </w:r>
      <w:r>
        <w:t xml:space="preserve">, total vest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months, and</w:t>
      </w:r>
      <w:r>
        <w:t xml:space="preserve"> </w:t>
      </w:r>
      <w:r>
        <w:t xml:space="preserve">cliff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months, the vested count at a reference date with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whole months of</w:t>
      </w:r>
      <w:r>
        <w:t xml:space="preserve"> </w:t>
      </w:r>
      <w:r>
        <w:t xml:space="preserve">credited service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vested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c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min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f>
                              <m:fPr>
                                <m:type m:val="lin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min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r>
                                  <m:t>M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c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i.e. nothing vests before the cliff; at the cliff, the elapsed fraction vests</w:t>
      </w:r>
      <w: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(the standard 12-of-48 ⇒ 25% jump); thereafter it accrues straight-line to</w:t>
      </w:r>
      <w:r>
        <w:t xml:space="preserve"> </w:t>
      </w:r>
      <w:r>
        <w:t xml:space="preserve">100% at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  <w:r>
        <w:t xml:space="preserve"> </w:t>
      </w:r>
      <w:r>
        <w:rPr>
          <w:b/>
          <w:bCs/>
        </w:rPr>
        <w:t xml:space="preserve">Termination freezes</w:t>
      </w:r>
      <w:r>
        <w:t xml:space="preserve"> </w:t>
      </w:r>
      <w:r>
        <w:t xml:space="preserve">the clock: credited service is capped at the</w:t>
      </w:r>
      <w:r>
        <w:t xml:space="preserve"> </w:t>
      </w:r>
      <w:r>
        <w:t xml:space="preserve">termination date and anything unvested is forfeited. Exercisable options are</w:t>
      </w:r>
      <w:r>
        <w:t xml:space="preserve"> </w:t>
      </w:r>
      <w:r>
        <w:rPr>
          <w:rStyle w:val="VerbatimChar"/>
        </w:rPr>
        <w:t xml:space="preserve">max(0, vested − exercised)</w:t>
      </w:r>
      <w:r>
        <w:t xml:space="preserve"> </w:t>
      </w:r>
      <w:r>
        <w:t xml:space="preserve">(no early exercise), and the exercise ledger drives</w:t>
      </w:r>
      <w:r>
        <w:t xml:space="preserve"> </w:t>
      </w:r>
      <w:r>
        <w:t xml:space="preserve">the derived exercised total (§3.3).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48,000 options, 48-month vest, 12-month cliff: 0 vested at</w:t>
      </w:r>
      <w:r>
        <w:t xml:space="preserve"> </w:t>
      </w:r>
      <w:r>
        <w:t xml:space="preserve">month 11;</w:t>
      </w:r>
      <w:r>
        <w:t xml:space="preserve"> </w:t>
      </w:r>
      <w:r>
        <w:rPr>
          <w:b/>
          <w:bCs/>
        </w:rPr>
        <w:t xml:space="preserve">12,000</w:t>
      </w:r>
      <w:r>
        <w:t xml:space="preserve"> </w:t>
      </w:r>
      <w:r>
        <w:t xml:space="preserve">(25%) at month 12;</w:t>
      </w:r>
      <w:r>
        <w:t xml:space="preserve"> </w:t>
      </w:r>
      <w:r>
        <w:rPr>
          <w:b/>
          <w:bCs/>
        </w:rPr>
        <w:t xml:space="preserve">24,000</w:t>
      </w:r>
      <w:r>
        <w:t xml:space="preserve"> </w:t>
      </w:r>
      <w:r>
        <w:t xml:space="preserve">at month 24; capped at</w:t>
      </w:r>
      <w:r>
        <w:t xml:space="preserve"> </w:t>
      </w:r>
      <w:r>
        <w:rPr>
          <w:b/>
          <w:bCs/>
        </w:rPr>
        <w:t xml:space="preserve">48,000</w:t>
      </w:r>
      <w:r>
        <w:t xml:space="preserve"> </w:t>
      </w:r>
      <w:r>
        <w:t xml:space="preserve">past month 48; a termination at month 30 freezes the total at</w:t>
      </w:r>
      <w:r>
        <w:t xml:space="preserve"> </w:t>
      </w:r>
      <w:r>
        <w:rPr>
          <w:b/>
          <w:bCs/>
        </w:rPr>
        <w:t xml:space="preserve">30,000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[FIGURE 7 — asset: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whitepaper-assets/fig07-share-plans-detail.png</w:t>
      </w:r>
      <w:r>
        <w:rPr>
          <w:i/>
          <w:iCs/>
        </w:rPr>
        <w:t xml:space="preserve">]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Grant detail — granted/vested/unvested/exercised/exercisable tiles,</w:t>
      </w:r>
      <w:r>
        <w:t xml:space="preserve"> </w:t>
      </w:r>
      <w:r>
        <w:t xml:space="preserve">dual progress bars (vesting and exercise), editable terms that re-project a</w:t>
      </w:r>
      <w:r>
        <w:t xml:space="preserve"> </w:t>
      </w:r>
      <w:r>
        <w:t xml:space="preserve">48-row monthly vesting schedule with the cliff row highlighted, an exercise</w:t>
      </w:r>
      <w:r>
        <w:t xml:space="preserve"> </w:t>
      </w:r>
      <w:r>
        <w:t xml:space="preserve">ledger, and a cap-table contribution summary.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Xb5807bcf35abfce243f005d4d6fd03fbb61ca86"/>
    <w:p>
      <w:pPr>
        <w:pStyle w:val="Heading2"/>
      </w:pPr>
      <w:r>
        <w:t xml:space="preserve">7. Fund OS — Fund Administration &amp; Performance Mathematics</w:t>
      </w:r>
    </w:p>
    <w:p>
      <w:pPr>
        <w:pStyle w:val="FirstParagraph"/>
      </w:pPr>
      <w:r>
        <w:t xml:space="preserve">Fund OS is the GP’s back office: investments, capital calls, distributions, NAV,</w:t>
      </w:r>
      <w:r>
        <w:t xml:space="preserve"> </w:t>
      </w:r>
      <w:r>
        <w:t xml:space="preserve">LP capital accounts, financial reporting, and the standard performance metrics.</w:t>
      </w:r>
    </w:p>
    <w:bookmarkStart w:id="36" w:name="the-performance-metric-suite"/>
    <w:p>
      <w:pPr>
        <w:pStyle w:val="Heading3"/>
      </w:pPr>
      <w:r>
        <w:t xml:space="preserve">7.1 The performance metric suite</w:t>
      </w:r>
    </w:p>
    <w:p>
      <w:pPr>
        <w:pStyle w:val="FirstParagraph"/>
      </w:pPr>
      <w:r>
        <w:t xml:space="preserve">Given committed, called (paid-in), distributed, and residual (NAV) capital, Anker</w:t>
      </w:r>
      <w:r>
        <w:t xml:space="preserve"> </w:t>
      </w:r>
      <w:r>
        <w:t xml:space="preserve">computes the private-capital canon: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DPI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Distributions</m:t>
              </m:r>
            </m:num>
            <m:den>
              <m:r>
                <m:rPr>
                  <m:nor/>
                  <m:sty m:val="p"/>
                </m:rPr>
                <m:t>Paid-in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RVPI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NAV</m:t>
              </m:r>
            </m:num>
            <m:den>
              <m:r>
                <m:rPr>
                  <m:nor/>
                  <m:sty m:val="p"/>
                </m:rPr>
                <m:t>Paid-in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TVPI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DPI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RVPI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Distributions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NAV</m:t>
              </m:r>
            </m:num>
            <m:den>
              <m:r>
                <m:rPr>
                  <m:nor/>
                  <m:sty m:val="p"/>
                </m:rPr>
                <m:t>Paid-in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Gross</w:t>
      </w:r>
      <w:r>
        <w:t xml:space="preserve"> </w:t>
      </w:r>
      <w:r>
        <w:rPr>
          <w:b/>
          <w:bCs/>
        </w:rPr>
        <w:t xml:space="preserve">MOIC</w:t>
      </w:r>
      <w:r>
        <w:t xml:space="preserve"> </w:t>
      </w:r>
      <w:r>
        <w:t xml:space="preserve">on a position is</w:t>
      </w:r>
      <w:r>
        <w:t xml:space="preserve"> </w:t>
      </w:r>
      <w:r>
        <w:rPr>
          <w:rStyle w:val="VerbatimChar"/>
        </w:rPr>
        <w:t xml:space="preserve">(realized + unrealized) / invested cost</w:t>
      </w:r>
      <w:r>
        <w:t xml:space="preserve">.</w:t>
      </w:r>
    </w:p>
    <w:bookmarkEnd w:id="36"/>
    <w:bookmarkStart w:id="37" w:name="money-weighted-return-irr"/>
    <w:p>
      <w:pPr>
        <w:pStyle w:val="Heading3"/>
      </w:pPr>
      <w:r>
        <w:t xml:space="preserve">7.2 Money-weighted return (IRR)</w:t>
      </w:r>
    </w:p>
    <w:p>
      <w:pPr>
        <w:pStyle w:val="FirstParagraph"/>
      </w:pPr>
      <w:r>
        <w:t xml:space="preserve">The fund’s</w:t>
      </w:r>
      <w:r>
        <w:t xml:space="preserve"> </w:t>
      </w:r>
      <w:r>
        <w:rPr>
          <w:b/>
          <w:bCs/>
        </w:rPr>
        <w:t xml:space="preserve">IRR</w:t>
      </w:r>
      <w:r>
        <w:t xml:space="preserve"> </w:t>
      </w:r>
      <w:r>
        <w:t xml:space="preserve">is the money-weighted rate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solving the net-present-value</w:t>
      </w:r>
      <w:r>
        <w:t xml:space="preserve"> </w:t>
      </w:r>
      <w:r>
        <w:t xml:space="preserve">identity over dated cash flows</w:t>
      </w:r>
      <w:r>
        <w:t xml:space="preserve"> </w:t>
      </w:r>
      <w:r>
        <w:rPr>
          <w:rStyle w:val="VerbatimChar"/>
        </w:rPr>
        <w:t xml:space="preserve">CF_k</w:t>
      </w:r>
      <w:r>
        <w:t xml:space="preserve"> </w:t>
      </w:r>
      <w:r>
        <w:t xml:space="preserve">at times</w:t>
      </w:r>
      <w:r>
        <w:t xml:space="preserve"> </w:t>
      </w:r>
      <w:r>
        <w:rPr>
          <w:rStyle w:val="VerbatimChar"/>
        </w:rPr>
        <w:t xml:space="preserve">t_k</w:t>
      </w:r>
      <w:r>
        <w:t xml:space="preserve"> </w:t>
      </w:r>
      <w:r>
        <w:t xml:space="preserve">(years):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C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calls are negative and distributions plus terminal NAV are positive. Because</w:t>
      </w:r>
      <w:r>
        <w:t xml:space="preserve"> </w:t>
      </w:r>
      <w:r>
        <w:rPr>
          <w:rStyle w:val="VerbatimChar"/>
        </w:rPr>
        <w:t xml:space="preserve">NPV(x)</w:t>
      </w:r>
      <w:r>
        <w:t xml:space="preserve"> </w:t>
      </w:r>
      <w:r>
        <w:t xml:space="preserve">is monotone in the region of interest, the root is found numerically</w:t>
      </w:r>
      <w:r>
        <w:t xml:space="preserve"> </w:t>
      </w:r>
      <w:r>
        <w:t xml:space="preserve">(Newton–Raphson with a bisection fallback for robustness when cash flows are</w:t>
      </w:r>
      <w:r>
        <w:t xml:space="preserve"> </w:t>
      </w:r>
      <w:r>
        <w:t xml:space="preserve">irregular). NAV of record is the sum of position</w:t>
      </w:r>
      <w:r>
        <w:t xml:space="preserve"> </w:t>
      </w:r>
      <w:r>
        <w:rPr>
          <w:b/>
          <w:bCs/>
        </w:rPr>
        <w:t xml:space="preserve">fair values</w:t>
      </w:r>
      <w:r>
        <w:t xml:space="preserve">, which flow from</w:t>
      </w:r>
      <w:r>
        <w:t xml:space="preserve"> </w:t>
      </w:r>
      <w:r>
        <w:t xml:space="preserve">the Valuations engine (§6.1’s cousin — position marks by method and as-of date).</w:t>
      </w:r>
    </w:p>
    <w:bookmarkEnd w:id="37"/>
    <w:bookmarkStart w:id="38" w:name="distribution-waterfall"/>
    <w:p>
      <w:pPr>
        <w:pStyle w:val="Heading3"/>
      </w:pPr>
      <w:r>
        <w:t xml:space="preserve">7.3 Distribution waterfall</w:t>
      </w:r>
    </w:p>
    <w:p>
      <w:pPr>
        <w:pStyle w:val="FirstParagraph"/>
      </w:pPr>
      <w:r>
        <w:t xml:space="preserve">Carried-interest distributions follow the fund’s waterfall (return of capital →</w:t>
      </w:r>
      <w:r>
        <w:t xml:space="preserve"> </w:t>
      </w:r>
      <w:r>
        <w:t xml:space="preserve">preferred return / hurdle → GP catch-up → carry split). The economics module</w:t>
      </w:r>
      <w:r>
        <w:t xml:space="preserve"> </w:t>
      </w:r>
      <w:r>
        <w:t xml:space="preserve">models fee schedules, quarterly accruals, and the waterfall so that LP and GP</w:t>
      </w:r>
      <w:r>
        <w:t xml:space="preserve"> </w:t>
      </w:r>
      <w:r>
        <w:t xml:space="preserve">splits reconcile to the ledger rather than being asserted.</w:t>
      </w:r>
    </w:p>
    <w:bookmarkEnd w:id="38"/>
    <w:bookmarkStart w:id="39" w:name="pacing-forecasting"/>
    <w:p>
      <w:pPr>
        <w:pStyle w:val="Heading3"/>
      </w:pPr>
      <w:r>
        <w:t xml:space="preserve">7.4 Pacing &amp; forecasting</w:t>
      </w:r>
    </w:p>
    <w:p>
      <w:pPr>
        <w:pStyle w:val="FirstParagraph"/>
      </w:pPr>
      <w:r>
        <w:t xml:space="preserve">The Fund Forecasting surface projects deployment</w:t>
      </w:r>
      <w:r>
        <w:t xml:space="preserve"> </w:t>
      </w:r>
      <w:r>
        <w:rPr>
          <w:b/>
          <w:bCs/>
        </w:rPr>
        <w:t xml:space="preserve">pacing</w:t>
      </w:r>
      <w:r>
        <w:t xml:space="preserve">, reserve policy, and</w:t>
      </w:r>
      <w:r>
        <w:t xml:space="preserve"> </w:t>
      </w:r>
      <w:r>
        <w:t xml:space="preserve">projected returns — the portfolio-construction analogue of a position-sizing</w:t>
      </w:r>
      <w:r>
        <w:t xml:space="preserve"> </w:t>
      </w:r>
      <w:r>
        <w:t xml:space="preserve">strategy: given fund size, target number of initial checks, reserve ratio, and a</w:t>
      </w:r>
      <w:r>
        <w:t xml:space="preserve"> </w:t>
      </w:r>
      <w:r>
        <w:t xml:space="preserve">pacing curve, it schedules capital deployment and reserve follow-ons over the</w:t>
      </w:r>
      <w:r>
        <w:t xml:space="preserve"> </w:t>
      </w:r>
      <w:r>
        <w:t xml:space="preserve">investment period.</w:t>
      </w:r>
    </w:p>
    <w:p>
      <w:pPr>
        <w:pStyle w:val="BodyText"/>
      </w:pPr>
      <w:r>
        <w:rPr>
          <w:i/>
          <w:iCs/>
        </w:rPr>
        <w:t xml:space="preserve">[FIGURE 8 — asset: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whitepaper-assets/fig08-fund-os.png</w:t>
      </w:r>
      <w:r>
        <w:rPr>
          <w:i/>
          <w:iCs/>
        </w:rPr>
        <w:t xml:space="preserve">]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Fund OS overview for</w:t>
      </w:r>
      <w:r>
        <w:t xml:space="preserve"> </w:t>
      </w:r>
      <w:r>
        <w:rPr>
          <w:i/>
          <w:iCs/>
        </w:rPr>
        <w:t xml:space="preserve">Summit Venture Studio — Fund II</w:t>
      </w:r>
      <w:r>
        <w:t xml:space="preserve"> </w:t>
      </w:r>
      <w:r>
        <w:t xml:space="preserve">— the fund</w:t>
      </w:r>
      <w:r>
        <w:t xml:space="preserve"> </w:t>
      </w:r>
      <w:r>
        <w:t xml:space="preserve">profile, a</w:t>
      </w:r>
      <w:r>
        <w:t xml:space="preserve"> </w:t>
      </w:r>
      <w:r>
        <w:t xml:space="preserve">“Fund workspace”</w:t>
      </w:r>
      <w:r>
        <w:t xml:space="preserve"> </w:t>
      </w:r>
      <w:r>
        <w:t xml:space="preserve">card grid (Deals, Investments, Economics, Ledger,</w:t>
      </w:r>
      <w:r>
        <w:t xml:space="preserve"> </w:t>
      </w:r>
      <w:r>
        <w:t xml:space="preserve">Plan, Syndication, Management co., LP imports, Legal, Assessment), rollup tiles,</w:t>
      </w:r>
      <w:r>
        <w:t xml:space="preserve"> </w:t>
      </w:r>
      <w:r>
        <w:t xml:space="preserve">and the LP subscription funnel.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d4a45e58bca6fab2c09ed32a6d9ce1f5de539c4"/>
    <w:p>
      <w:pPr>
        <w:pStyle w:val="Heading2"/>
      </w:pPr>
      <w:r>
        <w:t xml:space="preserve">8. The AI System — Model Router, Persona Agents &amp; Tooling</w:t>
      </w:r>
    </w:p>
    <w:bookmarkStart w:id="41" w:name="provider-agnostic-model-router"/>
    <w:p>
      <w:pPr>
        <w:pStyle w:val="Heading3"/>
      </w:pPr>
      <w:r>
        <w:t xml:space="preserve">8.1 Provider-agnostic model router</w:t>
      </w:r>
    </w:p>
    <w:p>
      <w:pPr>
        <w:pStyle w:val="FirstParagraph"/>
      </w:pPr>
      <w:r>
        <w:t xml:space="preserve">Anker’s AI is not tied to a single vendor. A</w:t>
      </w:r>
      <w:r>
        <w:t xml:space="preserve"> </w:t>
      </w:r>
      <w:r>
        <w:rPr>
          <w:b/>
          <w:bCs/>
        </w:rPr>
        <w:t xml:space="preserve">model router</w:t>
      </w:r>
      <w:r>
        <w:t xml:space="preserve"> </w:t>
      </w:r>
      <w:r>
        <w:t xml:space="preserve">abstracts across</w:t>
      </w:r>
      <w:r>
        <w:t xml:space="preserve"> </w:t>
      </w:r>
      <w:r>
        <w:t xml:space="preserve">providers (Anthropic Claude, and via the DashScope gateway Qwen 3.x, GLM, DeepSeek,</w:t>
      </w:r>
      <w:r>
        <w:t xml:space="preserve"> </w:t>
      </w:r>
      <w:r>
        <w:t xml:space="preserve">Kimi, and others), selecting a model per task tier (e.g. a</w:t>
      </w:r>
      <w:r>
        <w:t xml:space="preserve"> </w:t>
      </w:r>
      <w:r>
        <w:rPr>
          <w:rStyle w:val="VerbatimChar"/>
        </w:rPr>
        <w:t xml:space="preserve">deep_research</w:t>
      </w:r>
      <w:r>
        <w:t xml:space="preserve"> </w:t>
      </w:r>
      <w:r>
        <w:t xml:space="preserve">tier</w:t>
      </w:r>
      <w:r>
        <w:t xml:space="preserve"> </w:t>
      </w:r>
      <w:r>
        <w:t xml:space="preserve">for agentic reasoning) with automatic fallback when a provider or task is</w:t>
      </w:r>
      <w:r>
        <w:t xml:space="preserve"> </w:t>
      </w:r>
      <w:r>
        <w:t xml:space="preserve">unavailable. The chat surfaces expose the model catalog so a user can pin a</w:t>
      </w:r>
      <w:r>
        <w:t xml:space="preserve"> </w:t>
      </w:r>
      <w:r>
        <w:t xml:space="preserve">specific model.</w:t>
      </w:r>
    </w:p>
    <w:bookmarkEnd w:id="41"/>
    <w:bookmarkStart w:id="42" w:name="the-tool-calling-agent-loop"/>
    <w:p>
      <w:pPr>
        <w:pStyle w:val="Heading3"/>
      </w:pPr>
      <w:r>
        <w:t xml:space="preserve">8.2 The tool-calling agent loop</w:t>
      </w:r>
    </w:p>
    <w:p>
      <w:pPr>
        <w:pStyle w:val="FirstParagraph"/>
      </w:pPr>
      <w:r>
        <w:t xml:space="preserve">The assistant is an</w:t>
      </w:r>
      <w:r>
        <w:t xml:space="preserve"> </w:t>
      </w:r>
      <w:r>
        <w:rPr>
          <w:b/>
          <w:bCs/>
        </w:rPr>
        <w:t xml:space="preserve">autonomous agent</w:t>
      </w:r>
      <w:r>
        <w:t xml:space="preserve"> </w:t>
      </w:r>
      <w:r>
        <w:t xml:space="preserve">that reasons in steps, emitting exactly</w:t>
      </w:r>
      <w:r>
        <w:t xml:space="preserve"> </w:t>
      </w:r>
      <w:r>
        <w:t xml:space="preserve">one JSON action per step — either a tool call or a final answer — over a catalog</w:t>
      </w:r>
      <w:r>
        <w:t xml:space="preserve"> </w:t>
      </w:r>
      <w:r>
        <w:t xml:space="preserve">of platform-integrated tools (CRM operations, deal pipeline, LinkedIn intro</w:t>
      </w:r>
      <w:r>
        <w:t xml:space="preserve"> </w:t>
      </w:r>
      <w:r>
        <w:t xml:space="preserve">paths, the outreach inbox, LP matchmaking, thesis scoring, firm enrichment, web</w:t>
      </w:r>
      <w:r>
        <w:t xml:space="preserve"> </w:t>
      </w:r>
      <w:r>
        <w:t xml:space="preserve">search/crawl, and document/spreadsheet generation). The loop batches work (e.g.</w:t>
      </w:r>
      <w:r>
        <w:t xml:space="preserve"> </w:t>
      </w:r>
      <w:r>
        <w:t xml:space="preserve">scoring many investors in one bounded call rather than one call per investor) to</w:t>
      </w:r>
      <w:r>
        <w:t xml:space="preserve"> </w:t>
      </w:r>
      <w:r>
        <w:t xml:space="preserve">respect provider quotas, and pre-processes uploaded files (PDF text extraction,</w:t>
      </w:r>
      <w:r>
        <w:t xml:space="preserve"> </w:t>
      </w:r>
      <w:r>
        <w:t xml:space="preserve">image OCR/vision) into the agent’s context.</w:t>
      </w:r>
    </w:p>
    <w:bookmarkEnd w:id="42"/>
    <w:bookmarkStart w:id="43" w:name="persona-agents"/>
    <w:p>
      <w:pPr>
        <w:pStyle w:val="Heading3"/>
      </w:pPr>
      <w:r>
        <w:t xml:space="preserve">8.3 Persona agents</w:t>
      </w:r>
    </w:p>
    <w:p>
      <w:pPr>
        <w:pStyle w:val="FirstParagraph"/>
      </w:pPr>
      <w:r>
        <w:t xml:space="preserve">The assistant</w:t>
      </w:r>
      <w:r>
        <w:t xml:space="preserve"> </w:t>
      </w:r>
      <w:r>
        <w:rPr>
          <w:b/>
          <w:bCs/>
        </w:rPr>
        <w:t xml:space="preserve">adapts into three distinct agents</w:t>
      </w:r>
      <w:r>
        <w:t xml:space="preserve"> </w:t>
      </w:r>
      <w:r>
        <w:t xml:space="preserve">by the active persona, each</w:t>
      </w:r>
      <w:r>
        <w:t xml:space="preserve"> </w:t>
      </w:r>
      <w:r>
        <w:t xml:space="preserve">with its own role, tool scope, and integrated feature set derived from the shared</w:t>
      </w:r>
      <w:r>
        <w:t xml:space="preserve"> </w:t>
      </w:r>
      <w:r>
        <w:t xml:space="preserve">navigation taxonomy (so the agent’s knowledge of</w:t>
      </w:r>
      <w:r>
        <w:t xml:space="preserve"> </w:t>
      </w:r>
      <w:r>
        <w:t xml:space="preserve">“what it can do”</w:t>
      </w:r>
      <w:r>
        <w:t xml:space="preserve"> </w:t>
      </w:r>
      <w:r>
        <w:t xml:space="preserve">never drifts</w:t>
      </w:r>
      <w:r>
        <w:t xml:space="preserve"> </w:t>
      </w:r>
      <w:r>
        <w:t xml:space="preserve">from what the persona can actually reach):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 Copilot</w:t>
            </w:r>
          </w:p>
        </w:tc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Investor discovery, warm-intro paths, pitch &amp; data-room prep, cap-table/dilution, runway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 Copilot</w:t>
            </w:r>
          </w:p>
        </w:tc>
        <w:tc>
          <w:tcPr/>
          <w:p>
            <w:pPr>
              <w:pStyle w:val="Compact"/>
            </w:pPr>
            <w:r>
              <w:t xml:space="preserve">vc</w:t>
            </w:r>
          </w:p>
        </w:tc>
        <w:tc>
          <w:tcPr/>
          <w:p>
            <w:pPr>
              <w:pStyle w:val="Compact"/>
            </w:pPr>
            <w:r>
              <w:t xml:space="preserve">Deal sourcing &amp; IC prep, thesis scoring, LP matchmaking, portfolio monitoring, back 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Investor Copilot</w:t>
            </w:r>
          </w:p>
        </w:tc>
        <w:tc>
          <w:tcPr/>
          <w:p>
            <w:pPr>
              <w:pStyle w:val="Compact"/>
            </w:pPr>
            <w:r>
              <w:t xml:space="preserve">lp</w:t>
            </w:r>
          </w:p>
        </w:tc>
        <w:tc>
          <w:tcPr/>
          <w:p>
            <w:pPr>
              <w:pStyle w:val="Compact"/>
            </w:pPr>
            <w:r>
              <w:t xml:space="preserve">Capital-account summaries, call/distribution explanations, documents, fund performance</w:t>
            </w:r>
          </w:p>
        </w:tc>
      </w:tr>
    </w:tbl>
    <w:p>
      <w:pPr>
        <w:pStyle w:val="BodyText"/>
      </w:pPr>
      <w:r>
        <w:t xml:space="preserve">The active persona is injected into the system prompt along with the persona’s</w:t>
      </w:r>
      <w:r>
        <w:t xml:space="preserve"> </w:t>
      </w:r>
      <w:r>
        <w:t xml:space="preserve">real platform destinations, and the chat UI surfaces persona-specific suggested</w:t>
      </w:r>
      <w:r>
        <w:t xml:space="preserve"> </w:t>
      </w:r>
      <w:r>
        <w:t xml:space="preserve">tasks. Owners default to the Fund Copilot (fullest toolset).</w:t>
      </w:r>
    </w:p>
    <w:p>
      <w:pPr>
        <w:pStyle w:val="BodyText"/>
      </w:pPr>
      <w:r>
        <w:rPr>
          <w:i/>
          <w:iCs/>
        </w:rPr>
        <w:t xml:space="preserve">[FIGURE 9 — asset: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whitepaper-assets/fig09-assistant.png</w:t>
      </w:r>
      <w:r>
        <w:rPr>
          <w:i/>
          <w:iCs/>
        </w:rPr>
        <w:t xml:space="preserve">]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The AI Assistant rendered as the Fund Copilot — an eyebrow reading</w:t>
      </w:r>
      <w:r>
        <w:t xml:space="preserve"> </w:t>
      </w:r>
      <w:r>
        <w:rPr>
          <w:i/>
          <w:iCs/>
        </w:rPr>
        <w:t xml:space="preserve">“AI Agent · Fund Copilot”</w:t>
      </w:r>
      <w:r>
        <w:t xml:space="preserve">, a serif</w:t>
      </w:r>
      <w:r>
        <w:t xml:space="preserve"> </w:t>
      </w:r>
      <w:r>
        <w:rPr>
          <w:i/>
          <w:iCs/>
        </w:rPr>
        <w:t xml:space="preserve">“Fund Copilot”</w:t>
      </w:r>
      <w:r>
        <w:t xml:space="preserve"> </w:t>
      </w:r>
      <w:r>
        <w:t xml:space="preserve">title with its tagline, and</w:t>
      </w:r>
      <w:r>
        <w:t xml:space="preserve"> </w:t>
      </w:r>
      <w:r>
        <w:t xml:space="preserve">persona-specific suggestion chips (score firms against a thesis, match the fund to</w:t>
      </w:r>
      <w:r>
        <w:t xml:space="preserve"> </w:t>
      </w:r>
      <w:r>
        <w:t xml:space="preserve">LPs, summarize the pipeline, draft an LP update).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quantitative-machine-learning-methods"/>
    <w:p>
      <w:pPr>
        <w:pStyle w:val="Heading2"/>
      </w:pPr>
      <w:r>
        <w:t xml:space="preserve">9. Quantitative &amp; Machine-Learning Methods</w:t>
      </w:r>
    </w:p>
    <w:p>
      <w:pPr>
        <w:pStyle w:val="FirstParagraph"/>
      </w:pPr>
      <w:r>
        <w:t xml:space="preserve">This section documents the modelling methods actually present in the platform.</w:t>
      </w:r>
      <w:r>
        <w:t xml:space="preserve"> </w:t>
      </w:r>
      <w:r>
        <w:t xml:space="preserve">It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report market-trading backtests or return figures for</w:t>
      </w:r>
      <w:r>
        <w:t xml:space="preserve"> </w:t>
      </w:r>
      <w:r>
        <w:t xml:space="preserve">a strategy the platform does not run; the quantitative core of Anker is</w:t>
      </w:r>
      <w:r>
        <w:t xml:space="preserve"> </w:t>
      </w:r>
      <w:r>
        <w:rPr>
          <w:b/>
          <w:bCs/>
        </w:rPr>
        <w:t xml:space="preserve">derivatives-style valuation, credit modelling, portfolio construction, and</w:t>
      </w:r>
      <w:r>
        <w:rPr>
          <w:b/>
          <w:bCs/>
        </w:rPr>
        <w:t xml:space="preserve"> </w:t>
      </w:r>
      <w:r>
        <w:rPr>
          <w:b/>
          <w:bCs/>
        </w:rPr>
        <w:t xml:space="preserve">semantic ranking</w:t>
      </w:r>
      <w:r>
        <w:t xml:space="preserve">, and those are what is described.</w:t>
      </w:r>
    </w:p>
    <w:bookmarkStart w:id="45" w:name="X0b07ad8e60ff2bc2731f2ce3f8f936b41a9c661"/>
    <w:p>
      <w:pPr>
        <w:pStyle w:val="Heading3"/>
      </w:pPr>
      <w:r>
        <w:t xml:space="preserve">9.1 Semantic investor matching (the ranking model)</w:t>
      </w:r>
    </w:p>
    <w:p>
      <w:pPr>
        <w:pStyle w:val="FirstParagraph"/>
      </w:pPr>
      <w:r>
        <w:t xml:space="preserve">Discovery ranks</w:t>
      </w:r>
      <w:r>
        <w:t xml:space="preserve"> </w:t>
      </w:r>
      <w:r>
        <w:rPr>
          <w:b/>
          <w:bCs/>
        </w:rPr>
        <w:t xml:space="preserve">47,275</w:t>
      </w:r>
      <w:r>
        <w:t xml:space="preserve"> </w:t>
      </w:r>
      <w:r>
        <w:t xml:space="preserve">investors for a given company/thesis. The method is</w:t>
      </w:r>
      <w:r>
        <w:t xml:space="preserve"> </w:t>
      </w:r>
      <w:r>
        <w:rPr>
          <w:b/>
          <w:bCs/>
        </w:rPr>
        <w:t xml:space="preserve">embedding-based semantic retrieval</w:t>
      </w:r>
      <w:r>
        <w:t xml:space="preserve">, not keyword search: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Encoding.</w:t>
      </w:r>
      <w:r>
        <w:t xml:space="preserve"> </w:t>
      </w:r>
      <w:r>
        <w:t xml:space="preserve">A company/thesis and each investor profile are encoded to dense</w:t>
      </w:r>
      <w:r>
        <w:t xml:space="preserve"> </w:t>
      </w:r>
      <w:r>
        <w:t xml:space="preserve">vectors</w:t>
      </w:r>
      <w:r>
        <w:t xml:space="preserve"> </w:t>
      </w:r>
      <w:r>
        <w:rPr>
          <w:rStyle w:val="VerbatimChar"/>
        </w:rPr>
        <w:t xml:space="preserve">u, v ∈ ℝ^d</w:t>
      </w:r>
      <w:r>
        <w:t xml:space="preserve"> </w:t>
      </w:r>
      <w:r>
        <w:t xml:space="preserve">by an embedding model (</w:t>
      </w:r>
      <w:r>
        <w:rPr>
          <w:rStyle w:val="VerbatimChar"/>
        </w:rPr>
        <w:t xml:space="preserve">lib/ai/embeddings</w:t>
      </w:r>
      <w:r>
        <w:t xml:space="preserve">), stored in</w:t>
      </w:r>
      <w:r>
        <w:t xml:space="preserve"> </w:t>
      </w:r>
      <w:r>
        <w:t xml:space="preserve">Postgres (pgvector).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Similarity.</w:t>
      </w:r>
      <w:r>
        <w:t xml:space="preserve"> </w:t>
      </w:r>
      <w:r>
        <w:t xml:space="preserve">Fit is scored by</w:t>
      </w:r>
      <w:r>
        <w:t xml:space="preserve"> </w:t>
      </w:r>
      <w:r>
        <w:rPr>
          <w:b/>
          <w:bCs/>
        </w:rPr>
        <w:t xml:space="preserve">cosine similarity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sim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⋅</m:t>
              </m:r>
              <m:r>
                <m:t>v</m:t>
              </m:r>
            </m:num>
            <m:den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u</m:t>
                  </m:r>
                </m:e>
              </m:d>
              <m:r>
                <m:t> 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v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Structured filters.</w:t>
      </w:r>
      <w:r>
        <w:t xml:space="preserve"> </w:t>
      </w:r>
      <w:r>
        <w:t xml:space="preserve">Semantic score is combined with hard filters — stage,</w:t>
      </w:r>
      <w:r>
        <w:t xml:space="preserve"> </w:t>
      </w:r>
      <w:r>
        <w:t xml:space="preserve">geography, check size, sector, recent activity — and with</w:t>
      </w:r>
      <w:r>
        <w:t xml:space="preserve"> </w:t>
      </w:r>
      <w:r>
        <w:rPr>
          <w:b/>
          <w:bCs/>
        </w:rPr>
        <w:t xml:space="preserve">warm-intro path</w:t>
      </w:r>
      <w:r>
        <w:t xml:space="preserve"> </w:t>
      </w:r>
      <w:r>
        <w:t xml:space="preserve">signals from the relationship graph (a shortest-path over LinkedIn</w:t>
      </w:r>
      <w:r>
        <w:t xml:space="preserve"> </w:t>
      </w:r>
      <w:r>
        <w:t xml:space="preserve">connections), so the final ranking blends</w:t>
      </w:r>
      <w:r>
        <w:t xml:space="preserve"> </w:t>
      </w:r>
      <w:r>
        <w:rPr>
          <w:i/>
          <w:iCs/>
        </w:rPr>
        <w:t xml:space="preserve">fit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reachability</w:t>
      </w:r>
      <w:r>
        <w:t xml:space="preserve">.</w:t>
      </w:r>
    </w:p>
    <w:p>
      <w:pPr>
        <w:pStyle w:val="FirstParagraph"/>
      </w:pPr>
      <w:r>
        <w:t xml:space="preserve">Because the encoding is semantic, a thesis phrased in prose retrieves investors</w:t>
      </w:r>
      <w:r>
        <w:t xml:space="preserve"> </w:t>
      </w:r>
      <w:r>
        <w:t xml:space="preserve">whose behavior matches, not merely those whose profile shares keywords.</w:t>
      </w:r>
    </w:p>
    <w:bookmarkEnd w:id="45"/>
    <w:bookmarkStart w:id="46" w:name="thesis-scoring-firm-enrichment"/>
    <w:p>
      <w:pPr>
        <w:pStyle w:val="Heading3"/>
      </w:pPr>
      <w:r>
        <w:t xml:space="preserve">9.2 Thesis scoring &amp; firm enrichment</w:t>
      </w:r>
    </w:p>
    <w:p>
      <w:pPr>
        <w:pStyle w:val="FirstParagraph"/>
      </w:pPr>
      <w:r>
        <w:t xml:space="preserve">Beyond retrieval, a</w:t>
      </w:r>
      <w:r>
        <w:t xml:space="preserve"> </w:t>
      </w:r>
      <w:r>
        <w:rPr>
          <w:b/>
          <w:bCs/>
        </w:rPr>
        <w:t xml:space="preserve">scoring</w:t>
      </w:r>
      <w:r>
        <w:t xml:space="preserve"> </w:t>
      </w:r>
      <w:r>
        <w:t xml:space="preserve">tool grades a set of firms against a thesis</w:t>
      </w:r>
      <w:r>
        <w:t xml:space="preserve"> </w:t>
      </w:r>
      <w:r>
        <w:t xml:space="preserve">(bounded batches, ≤ 40 per call), and an</w:t>
      </w:r>
      <w:r>
        <w:t xml:space="preserve"> </w:t>
      </w:r>
      <w:r>
        <w:rPr>
          <w:b/>
          <w:bCs/>
        </w:rPr>
        <w:t xml:space="preserve">enrichment</w:t>
      </w:r>
      <w:r>
        <w:t xml:space="preserve"> </w:t>
      </w:r>
      <w:r>
        <w:t xml:space="preserve">tool fills thin firm</w:t>
      </w:r>
      <w:r>
        <w:t xml:space="preserve"> </w:t>
      </w:r>
      <w:r>
        <w:t xml:space="preserve">records from public sources. These are LLM-in-the-loop operations with rate-</w:t>
      </w:r>
      <w:r>
        <w:t xml:space="preserve"> </w:t>
      </w:r>
      <w:r>
        <w:t xml:space="preserve">limited failover, producing exportable spreadsheets rather than opaque scores.</w:t>
      </w:r>
    </w:p>
    <w:bookmarkEnd w:id="46"/>
    <w:bookmarkStart w:id="47" w:name="X25313ba30af9c684141e8246633388502a3965d"/>
    <w:p>
      <w:pPr>
        <w:pStyle w:val="Heading3"/>
      </w:pPr>
      <w:r>
        <w:t xml:space="preserve">9.3 Option-pricing math as the derivatives core</w:t>
      </w:r>
    </w:p>
    <w:p>
      <w:pPr>
        <w:pStyle w:val="FirstParagraph"/>
      </w:pPr>
      <w:r>
        <w:t xml:space="preserve">The 409A engine (§6.1)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platform’s derivatives-pricing model: it treats</w:t>
      </w:r>
      <w:r>
        <w:t xml:space="preserve"> </w:t>
      </w:r>
      <w:r>
        <w:t xml:space="preserve">each equity class as a call option and prices call spreads across breakpoints</w:t>
      </w:r>
      <w:r>
        <w:t xml:space="preserve"> </w:t>
      </w:r>
      <w:r>
        <w:t xml:space="preserve">with Black–Scholes. This is the same mathematics used to price options in public</w:t>
      </w:r>
      <w:r>
        <w:t xml:space="preserve"> </w:t>
      </w:r>
      <w:r>
        <w:t xml:space="preserve">markets, applied to private equity structures — the closest and most rigorous</w:t>
      </w:r>
      <w:r>
        <w:t xml:space="preserve"> </w:t>
      </w:r>
      <w:r>
        <w:t xml:space="preserve">“trading-math”</w:t>
      </w:r>
      <w:r>
        <w:t xml:space="preserve"> </w:t>
      </w:r>
      <w:r>
        <w:t xml:space="preserve">surface in the product, and one whose outputs are legally</w:t>
      </w:r>
      <w:r>
        <w:t xml:space="preserve"> </w:t>
      </w:r>
      <w:r>
        <w:t xml:space="preserve">consequential (they set strike prices).</w:t>
      </w:r>
    </w:p>
    <w:bookmarkEnd w:id="47"/>
    <w:bookmarkStart w:id="48" w:name="credit-portfolio-construction-modelling"/>
    <w:p>
      <w:pPr>
        <w:pStyle w:val="Heading3"/>
      </w:pPr>
      <w:r>
        <w:t xml:space="preserve">9.4 Credit &amp; portfolio-construction modelling</w:t>
      </w:r>
    </w:p>
    <w:p>
      <w:pPr>
        <w:pStyle w:val="FirstParagraph"/>
      </w:pPr>
      <w:r>
        <w:t xml:space="preserve">The loan engine (§6.2) models amortization and accrual — deterministic</w:t>
      </w:r>
      <w:r>
        <w:t xml:space="preserve"> </w:t>
      </w:r>
      <w:r>
        <w:t xml:space="preserve">fixed-income mathematics. Fund Forecasting (§7.4) is a portfolio-construction</w:t>
      </w:r>
      <w:r>
        <w:t xml:space="preserve"> </w:t>
      </w:r>
      <w:r>
        <w:t xml:space="preserve">model: it is to a fund what a position-sizing/pacing strategy is to a book —</w:t>
      </w:r>
      <w:r>
        <w:t xml:space="preserve"> </w:t>
      </w:r>
      <w:r>
        <w:t xml:space="preserve">deciding how much to deploy, when, and how much to reserve.</w:t>
      </w:r>
    </w:p>
    <w:bookmarkEnd w:id="48"/>
    <w:bookmarkStart w:id="49" w:name="on-trading-strategies"/>
    <w:p>
      <w:pPr>
        <w:pStyle w:val="Heading3"/>
      </w:pPr>
      <w:r>
        <w:t xml:space="preserve">9.5 On</w:t>
      </w:r>
      <w:r>
        <w:t xml:space="preserve"> </w:t>
      </w:r>
      <w:r>
        <w:t xml:space="preserve">“trading strategies”</w:t>
      </w:r>
    </w:p>
    <w:p>
      <w:pPr>
        <w:pStyle w:val="FirstParagraph"/>
      </w:pPr>
      <w:r>
        <w:t xml:space="preserve">Anker is a venture operating system, not a trading system, and this paper will</w:t>
      </w:r>
      <w:r>
        <w:t xml:space="preserve"> </w:t>
      </w:r>
      <w:r>
        <w:t xml:space="preserve">not manufacture a strategy or a backtest to fit a narrative. The honest mapping</w:t>
      </w:r>
      <w:r>
        <w:t xml:space="preserve"> </w:t>
      </w:r>
      <w:r>
        <w:t xml:space="preserve">is:</w:t>
      </w:r>
      <w:r>
        <w:t xml:space="preserve"> </w:t>
      </w:r>
      <w:r>
        <w:rPr>
          <w:b/>
          <w:bCs/>
        </w:rPr>
        <w:t xml:space="preserve">option pricing</w:t>
      </w:r>
      <w:r>
        <w:t xml:space="preserve"> </w:t>
      </w:r>
      <w:r>
        <w:t xml:space="preserve">(§6.1, §9.3) is the derivatives math;</w:t>
      </w:r>
      <w:r>
        <w:t xml:space="preserve"> </w:t>
      </w:r>
      <w:r>
        <w:rPr>
          <w:b/>
          <w:bCs/>
        </w:rPr>
        <w:t xml:space="preserve">credit servicing</w:t>
      </w:r>
      <w:r>
        <w:t xml:space="preserve"> </w:t>
      </w:r>
      <w:r>
        <w:t xml:space="preserve">(§6.2) is the fixed-income math;</w:t>
      </w:r>
      <w:r>
        <w:t xml:space="preserve"> </w:t>
      </w:r>
      <w:r>
        <w:rPr>
          <w:b/>
          <w:bCs/>
        </w:rPr>
        <w:t xml:space="preserve">pacing/reserves</w:t>
      </w:r>
      <w:r>
        <w:t xml:space="preserve"> </w:t>
      </w:r>
      <w:r>
        <w:t xml:space="preserve">(§7.4) is the portfolio-</w:t>
      </w:r>
      <w:r>
        <w:t xml:space="preserve"> </w:t>
      </w:r>
      <w:r>
        <w:t xml:space="preserve">construction math;</w:t>
      </w:r>
      <w:r>
        <w:t xml:space="preserve"> </w:t>
      </w:r>
      <w:r>
        <w:rPr>
          <w:b/>
          <w:bCs/>
        </w:rPr>
        <w:t xml:space="preserve">IRR/TVPI/DPI</w:t>
      </w:r>
      <w:r>
        <w:t xml:space="preserve"> </w:t>
      </w:r>
      <w:r>
        <w:t xml:space="preserve">(§7) is the performance math;</w:t>
      </w:r>
      <w:r>
        <w:t xml:space="preserve"> </w:t>
      </w:r>
      <w:r>
        <w:rPr>
          <w:b/>
          <w:bCs/>
        </w:rPr>
        <w:t xml:space="preserve">semantic</w:t>
      </w:r>
      <w:r>
        <w:rPr>
          <w:b/>
          <w:bCs/>
        </w:rP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(§9.1) is the ML. If a market-facing quantitative strategy is added in</w:t>
      </w:r>
      <w:r>
        <w:t xml:space="preserve"> </w:t>
      </w:r>
      <w:r>
        <w:t xml:space="preserve">future, its methodology and</w:t>
      </w:r>
      <w:r>
        <w:t xml:space="preserve"> </w:t>
      </w:r>
      <w:r>
        <w:rPr>
          <w:i/>
          <w:iCs/>
        </w:rPr>
        <w:t xml:space="preserve">out-of-sample</w:t>
      </w:r>
      <w:r>
        <w:t xml:space="preserve"> </w:t>
      </w:r>
      <w:r>
        <w:t xml:space="preserve">results would be documented here with</w:t>
      </w:r>
      <w:r>
        <w:t xml:space="preserve"> </w:t>
      </w:r>
      <w:r>
        <w:t xml:space="preserve">the same rigor — and never before they exist.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core-workflows"/>
    <w:p>
      <w:pPr>
        <w:pStyle w:val="Heading2"/>
      </w:pPr>
      <w:r>
        <w:t xml:space="preserve">10. Core Workflows</w:t>
      </w:r>
    </w:p>
    <w:bookmarkStart w:id="51" w:name="founder-raise-the-round"/>
    <w:p>
      <w:pPr>
        <w:pStyle w:val="Heading3"/>
      </w:pPr>
      <w:r>
        <w:t xml:space="preserve">10.1 Founder — raise the round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Discover / Find Investors</w:t>
      </w:r>
      <w:r>
        <w:t xml:space="preserve"> </w:t>
      </w:r>
      <w:r>
        <w:t xml:space="preserve">— upload a deck; the matching model (§9.1) ranks</w:t>
      </w:r>
      <w:r>
        <w:t xml:space="preserve"> </w:t>
      </w:r>
      <w:r>
        <w:t xml:space="preserve">investors by fit and surfaces warm-intro paths.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— Cap Table (dilution across rounds), 409A (§6.1), Share Plans</w:t>
      </w:r>
      <w:r>
        <w:t xml:space="preserve"> </w:t>
      </w:r>
      <w:r>
        <w:t xml:space="preserve">(§6.3), Runway.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Raise Pipeline</w:t>
      </w:r>
      <w:r>
        <w:t xml:space="preserve"> </w:t>
      </w:r>
      <w:r>
        <w:t xml:space="preserve">— track the round by stage (soft-circled / committed).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Room</w:t>
      </w:r>
      <w:r>
        <w:t xml:space="preserve"> </w:t>
      </w:r>
      <w:r>
        <w:t xml:space="preserve">— a 12-section diligence taxonomy with completeness tracking and</w:t>
      </w:r>
      <w:r>
        <w:t xml:space="preserve"> </w:t>
      </w:r>
      <w:r>
        <w:t xml:space="preserve">watermarked, tokenized, expiring share links with view analytics.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Outreach</w:t>
      </w:r>
      <w:r>
        <w:t xml:space="preserve"> </w:t>
      </w:r>
      <w:r>
        <w:t xml:space="preserve">— the agent drafts and the founder sends.</w:t>
      </w:r>
    </w:p>
    <w:bookmarkEnd w:id="51"/>
    <w:bookmarkStart w:id="52" w:name="vc-gp-source-deals-and-run-the-fund"/>
    <w:p>
      <w:pPr>
        <w:pStyle w:val="Heading3"/>
      </w:pPr>
      <w:r>
        <w:t xml:space="preserve">10.2 VC / GP — source deals and run the fund</w:t>
      </w:r>
    </w:p>
    <w:p>
      <w:pPr>
        <w:pStyle w:val="FirstParagraph"/>
      </w:pPr>
      <w:r>
        <w:t xml:space="preserve">Deal Flow → IC → close into positions (Fund OS); LP Matchmaking (fund→LP scoring);</w:t>
      </w:r>
      <w:r>
        <w:t xml:space="preserve"> </w:t>
      </w:r>
      <w:r>
        <w:t xml:space="preserve">back office (capital calls, distributions, SPVs, KYC/AML, fund tax, contracts,</w:t>
      </w:r>
      <w:r>
        <w:t xml:space="preserve"> </w:t>
      </w:r>
      <w:r>
        <w:t xml:space="preserve">compliance); reporting (financial reporting, tear sheets, data explorer);</w:t>
      </w:r>
      <w:r>
        <w:t xml:space="preserve"> </w:t>
      </w:r>
      <w:r>
        <w:t xml:space="preserve">monitoring (portfolio KPIs, valuations, forecasting).</w:t>
      </w:r>
    </w:p>
    <w:bookmarkEnd w:id="52"/>
    <w:bookmarkStart w:id="53" w:name="lp-stay-informed"/>
    <w:p>
      <w:pPr>
        <w:pStyle w:val="Heading3"/>
      </w:pPr>
      <w:r>
        <w:t xml:space="preserve">10.3 LP — stay informed</w:t>
      </w:r>
    </w:p>
    <w:p>
      <w:pPr>
        <w:pStyle w:val="FirstParagraph"/>
      </w:pPr>
      <w:r>
        <w:t xml:space="preserve">The Investor Room self-serve portal: capital account (committed / called /</w:t>
      </w:r>
      <w:r>
        <w:t xml:space="preserve"> </w:t>
      </w:r>
      <w:r>
        <w:t xml:space="preserve">distributed / NAV), distribution &amp; call notices addressed to the LP, and</w:t>
      </w:r>
      <w:r>
        <w:t xml:space="preserve"> </w:t>
      </w:r>
      <w:r>
        <w:t xml:space="preserve">documents (statements, letters, K-1s). Platform owners may enter the portal in an</w:t>
      </w:r>
      <w:r>
        <w:t xml:space="preserve"> </w:t>
      </w:r>
      <w:r>
        <w:t xml:space="preserve">explicit, badged</w:t>
      </w:r>
      <w:r>
        <w:t xml:space="preserve"> </w:t>
      </w:r>
      <w:r>
        <w:rPr>
          <w:b/>
          <w:bCs/>
        </w:rPr>
        <w:t xml:space="preserve">oversight</w:t>
      </w:r>
      <w:r>
        <w:t xml:space="preserve"> </w:t>
      </w:r>
      <w:r>
        <w:t xml:space="preserve">mode.</w:t>
      </w:r>
    </w:p>
    <w:p>
      <w:pPr>
        <w:pStyle w:val="BodyText"/>
      </w:pPr>
      <w:r>
        <w:rPr>
          <w:i/>
          <w:iCs/>
        </w:rPr>
        <w:t xml:space="preserve">[FIGURE 10 — asset: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whitepaper-assets/fig10-lp-portal.png</w:t>
      </w:r>
      <w:r>
        <w:rPr>
          <w:i/>
          <w:iCs/>
        </w:rPr>
        <w:t xml:space="preserve">]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The LP Investor Room — branded header with an owner-oversight badge</w:t>
      </w:r>
      <w:r>
        <w:t xml:space="preserve"> </w:t>
      </w:r>
      <w:r>
        <w:t xml:space="preserve">and a link back to the platform, a sub-nav (Capital account / Distributions /</w:t>
      </w:r>
      <w:r>
        <w:t xml:space="preserve"> </w:t>
      </w:r>
      <w:r>
        <w:t xml:space="preserve">Documents), and the LP’s capital-account summary.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billing-credits-metering"/>
    <w:p>
      <w:pPr>
        <w:pStyle w:val="Heading2"/>
      </w:pPr>
      <w:r>
        <w:t xml:space="preserve">11. Billing, Credits &amp; Metering</w:t>
      </w:r>
    </w:p>
    <w:p>
      <w:pPr>
        <w:pStyle w:val="FirstParagraph"/>
      </w:pPr>
      <w:r>
        <w:t xml:space="preserve">Anker meters usage through a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integration (test-mode connected at time</w:t>
      </w:r>
      <w:r>
        <w:t xml:space="preserve"> </w:t>
      </w:r>
      <w:r>
        <w:t xml:space="preserve">of writing). The design keeps the app’s read path off Stripe: a webhook mirrors</w:t>
      </w:r>
      <w:r>
        <w:t xml:space="preserve"> </w:t>
      </w:r>
      <w:r>
        <w:t xml:space="preserve">subscription state into local tables (</w:t>
      </w:r>
      <w:r>
        <w:rPr>
          <w:rStyle w:val="VerbatimChar"/>
        </w:rPr>
        <w:t xml:space="preserve">billing_customers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billing_subscriptions</w:t>
      </w:r>
      <w:r>
        <w:t xml:space="preserve">),</w:t>
      </w:r>
      <w:r>
        <w:t xml:space="preserve"> </w:t>
      </w:r>
      <w:r>
        <w:t xml:space="preserve">and an append-only</w:t>
      </w:r>
      <w:r>
        <w:t xml:space="preserve"> </w:t>
      </w:r>
      <w:r>
        <w:rPr>
          <w:b/>
          <w:bCs/>
        </w:rPr>
        <w:t xml:space="preserve">credit 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billing_credit_ledger</w:t>
      </w:r>
      <w:r>
        <w:t xml:space="preserve">) records grants</w:t>
      </w:r>
      <w:r>
        <w:t xml:space="preserve"> </w:t>
      </w:r>
      <w:r>
        <w:t xml:space="preserve">(plan allotments, top-ups) and consumption (AI-router spend); the balance is the</w:t>
      </w:r>
      <w:r>
        <w:t xml:space="preserve"> </w:t>
      </w:r>
      <w:r>
        <w:t xml:space="preserve">running sum. Three plans are defined —</w:t>
      </w:r>
      <w:r>
        <w:t xml:space="preserve"> </w:t>
      </w:r>
      <w:r>
        <w:rPr>
          <w:b/>
          <w:bCs/>
        </w:rPr>
        <w:t xml:space="preserve">Starter / Pro / Scale</w:t>
      </w:r>
      <w:r>
        <w:t xml:space="preserve"> </w:t>
      </w:r>
      <w:r>
        <w:t xml:space="preserve">— with monthly AI-</w:t>
      </w:r>
      <w:r>
        <w:t xml:space="preserve"> </w:t>
      </w:r>
      <w:r>
        <w:t xml:space="preserve">credit allotments granted on each paid invoice. The Stripe client is loaded lazily</w:t>
      </w:r>
      <w:r>
        <w:t xml:space="preserve"> </w:t>
      </w:r>
      <w:r>
        <w:t xml:space="preserve">and gated on configuration, so the app builds and runs whether or not billing is</w:t>
      </w:r>
      <w:r>
        <w:t xml:space="preserve"> </w:t>
      </w:r>
      <w:r>
        <w:t xml:space="preserve">switched on.</w:t>
      </w:r>
    </w:p>
    <w:p>
      <w:r>
        <w:pict>
          <v:rect style="width:0;height:1.5pt" o:hralign="center" o:hrstd="t" o:hr="t"/>
        </w:pict>
      </w:r>
    </w:p>
    <w:bookmarkEnd w:id="55"/>
    <w:bookmarkStart w:id="56" w:name="security-compliance-auditability"/>
    <w:p>
      <w:pPr>
        <w:pStyle w:val="Heading2"/>
      </w:pPr>
      <w:r>
        <w:t xml:space="preserve">12. Security, Compliance &amp; Auditability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— Supabase sessions; invite-only, fail-closed registration;</w:t>
      </w:r>
      <w:r>
        <w:t xml:space="preserve"> </w:t>
      </w:r>
      <w:r>
        <w:t xml:space="preserve">generic login errors (no user enumeration).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Open-redirect remediation</w:t>
      </w:r>
      <w:r>
        <w:t xml:space="preserve"> </w:t>
      </w:r>
      <w:r>
        <w:t xml:space="preserve">— a security review found that the post-login</w:t>
      </w:r>
      <w:r>
        <w:t xml:space="preserve"> </w:t>
      </w:r>
      <w:r>
        <w:t xml:space="preserve">destination (</w:t>
      </w:r>
      <w:r>
        <w:rPr>
          <w:rStyle w:val="VerbatimChar"/>
        </w:rPr>
        <w:t xml:space="preserve">?next=</w:t>
      </w:r>
      <w:r>
        <w:t xml:space="preserve">) was applied without validation, allowing</w:t>
      </w:r>
      <w:r>
        <w:t xml:space="preserve"> </w:t>
      </w:r>
      <w:r>
        <w:rPr>
          <w:rStyle w:val="VerbatimChar"/>
        </w:rPr>
        <w:t xml:space="preserve">?next=https://evil.com</w:t>
      </w:r>
      <w:r>
        <w:t xml:space="preserve"> </w:t>
      </w:r>
      <w:r>
        <w:t xml:space="preserve">to redirect a freshly-authenticated user off-site</w:t>
      </w:r>
      <w:r>
        <w:t xml:space="preserve"> </w:t>
      </w:r>
      <w:r>
        <w:t xml:space="preserve">(CWE-601). Both the login page and the OAuth callback now accept</w:t>
      </w:r>
      <w:r>
        <w:t xml:space="preserve"> </w:t>
      </w:r>
      <w:r>
        <w:rPr>
          <w:b/>
          <w:bCs/>
        </w:rPr>
        <w:t xml:space="preserve">internal</w:t>
      </w:r>
      <w:r>
        <w:rPr>
          <w:b/>
          <w:bCs/>
        </w:rPr>
        <w:t xml:space="preserve"> </w:t>
      </w:r>
      <w:r>
        <w:rPr>
          <w:b/>
          <w:bCs/>
        </w:rPr>
        <w:t xml:space="preserve">paths only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Owner→tenant firewall</w:t>
      </w:r>
      <w:r>
        <w:t xml:space="preserve"> </w:t>
      </w:r>
      <w:r>
        <w:t xml:space="preserve">— platform owners see aggregate/existence data, not</w:t>
      </w:r>
      <w:r>
        <w:t xml:space="preserve"> </w:t>
      </w:r>
      <w:r>
        <w:t xml:space="preserve">tenant private records, enforced structurally (owner status creates no</w:t>
      </w:r>
      <w:r>
        <w:t xml:space="preserve"> </w:t>
      </w:r>
      <w:r>
        <w:t xml:space="preserve">membership; tenant reads require one). A single, explicit, logged exception</w:t>
      </w:r>
      <w:r>
        <w:t xml:space="preserve"> </w:t>
      </w:r>
      <w:r>
        <w:t xml:space="preserve">grants owner oversight of the LP portal.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Immutable audit log</w:t>
      </w:r>
      <w:r>
        <w:t xml:space="preserve"> </w:t>
      </w:r>
      <w:r>
        <w:t xml:space="preserve">— an append-only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trail (actor, action,</w:t>
      </w:r>
      <w:r>
        <w:t xml:space="preserve"> </w:t>
      </w:r>
      <w:r>
        <w:t xml:space="preserve">target, metadata, IP, user-agent) with a filterable, paginated admin feed;</w:t>
      </w:r>
      <w:r>
        <w:t xml:space="preserve"> </w:t>
      </w:r>
      <w:r>
        <w:t xml:space="preserve">writes are best-effort so auditing never breaks the action it records.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Compliance register</w:t>
      </w:r>
      <w:r>
        <w:t xml:space="preserve"> </w:t>
      </w:r>
      <w:r>
        <w:t xml:space="preserve">— a Fund OS surface enumerating the regulatory</w:t>
      </w:r>
      <w:r>
        <w:t xml:space="preserve"> </w:t>
      </w:r>
      <w:r>
        <w:t xml:space="preserve">obligations a U.S. VC fund faces (SEC filings, securities, tax, fund reporting)</w:t>
      </w:r>
      <w:r>
        <w:t xml:space="preserve"> </w:t>
      </w:r>
      <w:r>
        <w:t xml:space="preserve">and flagging what applies to the fund’s profile.</w:t>
      </w:r>
    </w:p>
    <w:p>
      <w:r>
        <w:pict>
          <v:rect style="width:0;height:1.5pt" o:hralign="center" o:hrstd="t" o:hr="t"/>
        </w:pict>
      </w:r>
    </w:p>
    <w:bookmarkEnd w:id="56"/>
    <w:bookmarkStart w:id="60" w:name="evaluation-empirical-grounding"/>
    <w:p>
      <w:pPr>
        <w:pStyle w:val="Heading2"/>
      </w:pPr>
      <w:r>
        <w:t xml:space="preserve">13. Evaluation &amp; Empirical Grounding</w:t>
      </w:r>
    </w:p>
    <w:p>
      <w:pPr>
        <w:pStyle w:val="FirstParagraph"/>
      </w:pPr>
      <w:r>
        <w:t xml:space="preserve">This section reports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what the production system actually contains.</w:t>
      </w:r>
    </w:p>
    <w:bookmarkStart w:id="57" w:name="dataset-production-at-time-of-writing"/>
    <w:p>
      <w:pPr>
        <w:pStyle w:val="Heading3"/>
      </w:pPr>
      <w:r>
        <w:t xml:space="preserve">13.1 Dataset (production, at time of writing)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Investors / decision-makers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47,275</w:t>
            </w:r>
          </w:p>
        </w:tc>
        <w:tc>
          <w:tcPr/>
          <w:p>
            <w:pPr>
              <w:pStyle w:val="Compact"/>
            </w:pPr>
            <w:r>
              <w:t xml:space="preserve">The core discovery dataset; matches the</w:t>
            </w:r>
            <w:r>
              <w:t xml:space="preserve"> </w:t>
            </w:r>
            <w:r>
              <w:t xml:space="preserve">“47,000+”</w:t>
            </w:r>
            <w:r>
              <w:t xml:space="preserve"> </w:t>
            </w:r>
            <w:r>
              <w:t xml:space="preserve">public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1,378</w:t>
            </w:r>
          </w:p>
        </w:tc>
        <w:tc>
          <w:tcPr/>
          <w:p>
            <w:pPr>
              <w:pStyle w:val="Compact"/>
            </w:pPr>
            <w:r>
              <w:t xml:space="preserve">Relationship graph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articles (published)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Newsroom / venture-insights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Summit Venture Studio — Fund II (the canonical fund)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LPs on the fund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Capital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Investment positions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NAV of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submissions assessed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  <w:r>
              <w:t xml:space="preserve"> </w:t>
            </w:r>
            <w:r>
              <w:t xml:space="preserve">“Pitch us”</w:t>
            </w:r>
            <w:r>
              <w:t xml:space="preserve"> </w:t>
            </w:r>
            <w:r>
              <w:t xml:space="preserve">applications to date</w:t>
            </w:r>
          </w:p>
        </w:tc>
      </w:tr>
    </w:tbl>
    <w:bookmarkEnd w:id="57"/>
    <w:bookmarkStart w:id="58" w:name="engine-correctness-regression-suite"/>
    <w:p>
      <w:pPr>
        <w:pStyle w:val="Heading3"/>
      </w:pPr>
      <w:r>
        <w:t xml:space="preserve">13.2 Engine correctness (regression suite)</w:t>
      </w:r>
    </w:p>
    <w:p>
      <w:pPr>
        <w:pStyle w:val="FirstParagraph"/>
      </w:pPr>
      <w:r>
        <w:t xml:space="preserve">The financial engines are validated against textbook expected values, run against</w:t>
      </w:r>
      <w:r>
        <w:t xml:space="preserve"> </w:t>
      </w:r>
      <w:r>
        <w:t xml:space="preserve">the live database round-trip: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409A / OPM</w:t>
            </w:r>
          </w:p>
        </w:tc>
        <w:tc>
          <w:tcPr/>
          <w:p>
            <w:pPr>
              <w:pStyle w:val="Compact"/>
            </w:pPr>
            <w:r>
              <w:t xml:space="preserve">8M common / 2M pref @ $1</w:t>
            </w:r>
          </w:p>
        </w:tc>
        <w:tc>
          <w:tcPr/>
          <w:p>
            <w:pPr>
              <w:pStyle w:val="Compact"/>
            </w:pPr>
            <w:r>
              <w:t xml:space="preserve">preferred solves to $2.00M; common ≈ $0.4441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 amortization</w:t>
            </w:r>
          </w:p>
        </w:tc>
        <w:tc>
          <w:tcPr/>
          <w:p>
            <w:pPr>
              <w:pStyle w:val="Compact"/>
            </w:pPr>
            <w:r>
              <w:t xml:space="preserve">$100k, 12% APR, 12 mo</w:t>
            </w:r>
          </w:p>
        </w:tc>
        <w:tc>
          <w:tcPr/>
          <w:p>
            <w:pPr>
              <w:pStyle w:val="Compact"/>
            </w:pPr>
            <w:r>
              <w:t xml:space="preserve">level payment $8,884.88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Vesting</w:t>
            </w:r>
          </w:p>
        </w:tc>
        <w:tc>
          <w:tcPr/>
          <w:p>
            <w:pPr>
              <w:pStyle w:val="Compact"/>
            </w:pPr>
            <w:r>
              <w:t xml:space="preserve">48k / 48mo / 12mo cliff @ 24mo</w:t>
            </w:r>
          </w:p>
        </w:tc>
        <w:tc>
          <w:tcPr/>
          <w:p>
            <w:pPr>
              <w:pStyle w:val="Compact"/>
            </w:pPr>
            <w:r>
              <w:t xml:space="preserve">24,000 vested; freeze@30mo ⇒ 30,000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ledger</w:t>
            </w:r>
          </w:p>
        </w:tc>
        <w:tc>
          <w:tcPr/>
          <w:p>
            <w:pPr>
              <w:pStyle w:val="Compact"/>
            </w:pPr>
            <w:r>
              <w:t xml:space="preserve">+5,000 then −120</w:t>
            </w:r>
          </w:p>
        </w:tc>
        <w:tc>
          <w:tcPr/>
          <w:p>
            <w:pPr>
              <w:pStyle w:val="Compact"/>
            </w:pPr>
            <w:r>
              <w:t xml:space="preserve">balance 4,880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58"/>
    <w:bookmarkStart w:id="59" w:name="on-100-startups-assessed"/>
    <w:p>
      <w:pPr>
        <w:pStyle w:val="Heading3"/>
      </w:pPr>
      <w:r>
        <w:t xml:space="preserve">13.3 On</w:t>
      </w:r>
      <w:r>
        <w:t xml:space="preserve"> </w:t>
      </w:r>
      <w:r>
        <w:t xml:space="preserve">“100+ startups assessed”</w:t>
      </w:r>
    </w:p>
    <w:p>
      <w:pPr>
        <w:pStyle w:val="FirstParagraph"/>
      </w:pPr>
      <w:r>
        <w:t xml:space="preserve">The production</w:t>
      </w:r>
      <w:r>
        <w:t xml:space="preserve"> </w:t>
      </w:r>
      <w:r>
        <w:rPr>
          <w:rStyle w:val="VerbatimChar"/>
        </w:rPr>
        <w:t xml:space="preserve">founder_submissions</w:t>
      </w:r>
      <w:r>
        <w:t xml:space="preserve"> </w:t>
      </w:r>
      <w:r>
        <w:t xml:space="preserve">table currently holds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inbound</w:t>
      </w:r>
      <w:r>
        <w:t xml:space="preserve"> </w:t>
      </w:r>
      <w:r>
        <w:t xml:space="preserve">applications. A claim of</w:t>
      </w:r>
      <w:r>
        <w:t xml:space="preserve"> </w:t>
      </w:r>
      <w:r>
        <w:rPr>
          <w:i/>
          <w:iCs/>
        </w:rPr>
        <w:t xml:space="preserve">“100+ startups assessed”</w:t>
      </w:r>
      <w:r>
        <w:t xml:space="preserve"> </w:t>
      </w:r>
      <w:r>
        <w:t xml:space="preserve">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supported</w:t>
      </w:r>
      <w:r>
        <w:t xml:space="preserve"> </w:t>
      </w:r>
      <w:r>
        <w:t xml:space="preserve">by the platform’s own records and is presented here, if at all, only as a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for the assessment pipeline — never as an achieved result. The</w:t>
      </w:r>
      <w:r>
        <w:t xml:space="preserve"> </w:t>
      </w:r>
      <w:r>
        <w:t xml:space="preserve">assessment</w:t>
      </w:r>
      <w:r>
        <w:t xml:space="preserve"> </w:t>
      </w:r>
      <w:r>
        <w:rPr>
          <w:i/>
          <w:iCs/>
        </w:rPr>
        <w:t xml:space="preserve">capability</w:t>
      </w:r>
      <w:r>
        <w:t xml:space="preserve"> </w:t>
      </w:r>
      <w:r>
        <w:t xml:space="preserve">(a structured, multi-field fund-strength and company</w:t>
      </w:r>
      <w:r>
        <w:t xml:space="preserve"> </w:t>
      </w:r>
      <w:r>
        <w:t xml:space="preserve">assessment framework) exists and is documented; the</w:t>
      </w:r>
      <w:r>
        <w:t xml:space="preserve"> </w:t>
      </w:r>
      <w:r>
        <w:rPr>
          <w:i/>
          <w:iCs/>
        </w:rPr>
        <w:t xml:space="preserve">volume</w:t>
      </w:r>
      <w:r>
        <w:t xml:space="preserve"> </w:t>
      </w:r>
      <w:r>
        <w:t xml:space="preserve">is what it is. This</w:t>
      </w:r>
      <w:r>
        <w:t xml:space="preserve"> </w:t>
      </w:r>
      <w:r>
        <w:t xml:space="preserve">distinction is deliberate: a research paper that inflates its own evaluation set</w:t>
      </w:r>
      <w:r>
        <w:t xml:space="preserve"> </w:t>
      </w:r>
      <w:r>
        <w:t xml:space="preserve">is not a research paper.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ractitioner-commentary"/>
    <w:p>
      <w:pPr>
        <w:pStyle w:val="Heading2"/>
      </w:pPr>
      <w:r>
        <w:t xml:space="preserve">14. Practitioner Commentary</w:t>
      </w:r>
    </w:p>
    <w:p>
      <w:pPr>
        <w:pStyle w:val="BlockText"/>
      </w:pPr>
      <w:r>
        <w:rPr>
          <w:b/>
          <w:bCs/>
        </w:rPr>
        <w:t xml:space="preserve">These blocks are placeholders.</w:t>
      </w:r>
      <w:r>
        <w:t xml:space="preserve"> </w:t>
      </w:r>
      <w:r>
        <w:t xml:space="preserve">Anker’s authors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verified any of</w:t>
      </w:r>
      <w:r>
        <w:t xml:space="preserve"> </w:t>
      </w:r>
      <w:r>
        <w:t xml:space="preserve">the quotations below, and none should be published until a</w:t>
      </w:r>
      <w:r>
        <w:t xml:space="preserve"> </w:t>
      </w:r>
      <w:r>
        <w:rPr>
          <w:b/>
          <w:bCs/>
        </w:rPr>
        <w:t xml:space="preserve">named source has</w:t>
      </w:r>
      <w:r>
        <w:rPr>
          <w:b/>
          <w:bCs/>
        </w:rPr>
        <w:t xml:space="preserve"> </w:t>
      </w:r>
      <w:r>
        <w:rPr>
          <w:b/>
          <w:bCs/>
        </w:rPr>
        <w:t xml:space="preserve">supplied and approved the exact wording in writing</w:t>
      </w:r>
      <w:r>
        <w:t xml:space="preserve">. Fabricating a testimonial</w:t>
      </w:r>
      <w:r>
        <w:t xml:space="preserve"> </w:t>
      </w:r>
      <w:r>
        <w:t xml:space="preserve">— especially one attributed to a real institution or an identifiable individual</w:t>
      </w:r>
      <w:r>
        <w:t xml:space="preserve"> </w:t>
      </w:r>
      <w:r>
        <w:t xml:space="preserve">— would be misinformation and is out of scope for this document. To complete</w:t>
      </w:r>
      <w:r>
        <w:t xml:space="preserve"> </w:t>
      </w:r>
      <w:r>
        <w:t xml:space="preserve">this section, replace each block with a verbatim, attributable quote and obtain</w:t>
      </w:r>
      <w:r>
        <w:t xml:space="preserve"> </w:t>
      </w:r>
      <w:r>
        <w:t xml:space="preserve">the source’s written consent to be named.</w:t>
      </w:r>
    </w:p>
    <w:p>
      <w:pPr>
        <w:pStyle w:val="FirstParagraph"/>
      </w:pPr>
      <w:r>
        <w:rPr>
          <w:b/>
          <w:bCs/>
        </w:rPr>
        <w:t xml:space="preserve">On the Fund OS back office —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[Placeholder — verbatim quote to be supplied and approved by a named GP at a</w:t>
      </w:r>
      <w:r>
        <w:rPr>
          <w:i/>
          <w:iCs/>
        </w:rPr>
        <w:t xml:space="preserve"> </w:t>
      </w:r>
      <w:r>
        <w:rPr>
          <w:i/>
          <w:iCs/>
        </w:rPr>
        <w:t xml:space="preserve">&gt; venture fund. Include: name, title, firm, date.]</w:t>
      </w:r>
    </w:p>
    <w:p>
      <w:pPr>
        <w:pStyle w:val="BodyText"/>
      </w:pPr>
      <w:r>
        <w:rPr>
          <w:b/>
          <w:bCs/>
        </w:rPr>
        <w:t xml:space="preserve">On investor discovery &amp; matching —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[Placeholder — verbatim quote to be supplied and approved by a named</w:t>
      </w:r>
      <w:r>
        <w:rPr>
          <w:i/>
          <w:iCs/>
        </w:rPr>
        <w:t xml:space="preserve"> </w:t>
      </w:r>
      <w:r>
        <w:rPr>
          <w:i/>
          <w:iCs/>
        </w:rPr>
        <w:t xml:space="preserve">&gt; allocator or family-office principal. Include: name, title, entity, date.]</w:t>
      </w:r>
    </w:p>
    <w:p>
      <w:pPr>
        <w:pStyle w:val="BodyText"/>
      </w:pPr>
      <w:r>
        <w:rPr>
          <w:b/>
          <w:bCs/>
        </w:rPr>
        <w:t xml:space="preserve">On the quantitative / valuation engines —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[Placeholder — verbatim quote to be supplied and approved by a named finance</w:t>
      </w:r>
      <w:r>
        <w:rPr>
          <w:i/>
          <w:iCs/>
        </w:rPr>
        <w:t xml:space="preserve"> </w:t>
      </w:r>
      <w:r>
        <w:rPr>
          <w:i/>
          <w:iCs/>
        </w:rPr>
        <w:t xml:space="preserve">&gt; academic or practitioner. Include: name, title, institution, date; if the</w:t>
      </w:r>
      <w:r>
        <w:rPr>
          <w:i/>
          <w:iCs/>
        </w:rPr>
        <w:t xml:space="preserve"> </w:t>
      </w:r>
      <w:r>
        <w:rPr>
          <w:i/>
          <w:iCs/>
        </w:rPr>
        <w:t xml:space="preserve">&gt; source has media appearances, cite the specific program and air date rather</w:t>
      </w:r>
      <w:r>
        <w:rPr>
          <w:i/>
          <w:iCs/>
        </w:rPr>
        <w:t xml:space="preserve"> </w:t>
      </w:r>
      <w:r>
        <w:rPr>
          <w:i/>
          <w:iCs/>
        </w:rPr>
        <w:t xml:space="preserve">&gt; than paraphrasing.]</w:t>
      </w:r>
    </w:p>
    <w:p>
      <w:pPr>
        <w:pStyle w:val="BlockText"/>
      </w:pPr>
      <w:r>
        <w:rPr>
          <w:b/>
          <w:bCs/>
        </w:rPr>
        <w:t xml:space="preserve">Method for collecting these:</w:t>
      </w:r>
      <w:r>
        <w:t xml:space="preserve"> </w:t>
      </w:r>
      <w:r>
        <w:t xml:space="preserve">send the relevant section (e.g. §6.1 for the</w:t>
      </w:r>
      <w:r>
        <w:t xml:space="preserve"> </w:t>
      </w:r>
      <w:r>
        <w:t xml:space="preserve">valuation engine) to the source, ask for a one- to three-sentence on-the-record</w:t>
      </w:r>
      <w:r>
        <w:t xml:space="preserve"> </w:t>
      </w:r>
      <w:r>
        <w:t xml:space="preserve">reaction, capture it verbatim, and record their written consent. Only then does</w:t>
      </w:r>
      <w:r>
        <w:t xml:space="preserve"> </w:t>
      </w:r>
      <w:r>
        <w:t xml:space="preserve">the quote belong in the paper.</w:t>
      </w:r>
    </w:p>
    <w:p>
      <w:r>
        <w:pict>
          <v:rect style="width:0;height:1.5pt" o:hralign="center" o:hrstd="t" o:hr="t"/>
        </w:pict>
      </w:r>
    </w:p>
    <w:bookmarkEnd w:id="61"/>
    <w:bookmarkStart w:id="62" w:name="roadmap"/>
    <w:p>
      <w:pPr>
        <w:pStyle w:val="Heading2"/>
      </w:pPr>
      <w:r>
        <w:t xml:space="preserve">15. Roadmap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Multi-fund &amp; multi-series</w:t>
      </w:r>
      <w:r>
        <w:t xml:space="preserve"> </w:t>
      </w:r>
      <w:r>
        <w:t xml:space="preserve">— generalize the single canonical fund to</w:t>
      </w:r>
      <w:r>
        <w:t xml:space="preserve"> </w:t>
      </w:r>
      <w:r>
        <w:t xml:space="preserve">multiple funds and extend the OPM to multi-series / participating-preferred</w:t>
      </w:r>
      <w:r>
        <w:t xml:space="preserve"> </w:t>
      </w:r>
      <w:r>
        <w:t xml:space="preserve">waterfalls.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Rate limiting &amp; password policy</w:t>
      </w:r>
      <w:r>
        <w:t xml:space="preserve"> </w:t>
      </w:r>
      <w:r>
        <w:t xml:space="preserve">— add rate limiting to the auth routes and</w:t>
      </w:r>
      <w:r>
        <w:t xml:space="preserve"> </w:t>
      </w:r>
      <w:r>
        <w:t xml:space="preserve">strengthen the password policy (a noted, non-blocking recommendation from §12).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Deeper analytics</w:t>
      </w:r>
      <w:r>
        <w:t xml:space="preserve"> </w:t>
      </w:r>
      <w:r>
        <w:t xml:space="preserve">— extend the pipeline analytics with fundraising-funnel and</w:t>
      </w:r>
      <w:r>
        <w:t xml:space="preserve"> </w:t>
      </w:r>
      <w:r>
        <w:t xml:space="preserve">portfolio-performance dimensions drawn from real fund data.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Assessment volume</w:t>
      </w:r>
      <w:r>
        <w:t xml:space="preserve"> </w:t>
      </w:r>
      <w:r>
        <w:t xml:space="preserve">— grow the founder-submission and assessment corpus so a</w:t>
      </w:r>
      <w:r>
        <w:t xml:space="preserve"> </w:t>
      </w:r>
      <w:r>
        <w:t xml:space="preserve">future evaluation section can report results, not targets.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Billing go-live</w:t>
      </w:r>
      <w:r>
        <w:t xml:space="preserve"> </w:t>
      </w:r>
      <w:r>
        <w:t xml:space="preserve">— configure the production webhook secret and environment,</w:t>
      </w:r>
      <w:r>
        <w:t xml:space="preserve"> </w:t>
      </w:r>
      <w:r>
        <w:t xml:space="preserve">and enable metered AI credits.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Halyard desktop (call intelligence) — distribution.</w:t>
      </w:r>
      <w:r>
        <w:t xml:space="preserve"> </w:t>
      </w:r>
      <w:r>
        <w:t xml:space="preserve">Halyard is experimental</w:t>
      </w:r>
      <w:r>
        <w:t xml:space="preserve"> </w:t>
      </w:r>
      <w:r>
        <w:t xml:space="preserve">and not yet shipped. Before release: a signed, notarized direct download first;</w:t>
      </w:r>
      <w:r>
        <w:t xml:space="preserve"> </w:t>
      </w:r>
      <w:r>
        <w:t xml:space="preserve">the Mac App Store only as a separate, later build target, because the macOS 26</w:t>
      </w:r>
      <w:r>
        <w:t xml:space="preserve"> </w:t>
      </w:r>
      <w:r>
        <w:t xml:space="preserve">Liquid Glass material relies on a private</w:t>
      </w:r>
      <w:r>
        <w:t xml:space="preserve"> </w:t>
      </w:r>
      <w:r>
        <w:rPr>
          <w:rStyle w:val="VerbatimChar"/>
        </w:rPr>
        <w:t xml:space="preserve">NSGlassEffectView</w:t>
      </w:r>
      <w:r>
        <w:t xml:space="preserve"> </w:t>
      </w:r>
      <w:r>
        <w:t xml:space="preserve">API (a MAS build</w:t>
      </w:r>
      <w:r>
        <w:t xml:space="preserve"> </w:t>
      </w:r>
      <w:r>
        <w:t xml:space="preserve">would fall back to standard vibrancy) and the MAS sandbox constrains system-audio</w:t>
      </w:r>
      <w:r>
        <w:t xml:space="preserve"> </w:t>
      </w:r>
      <w:r>
        <w:t xml:space="preserve">loopback, cross-app screen capture and click-through. Capture exclusion — the</w:t>
      </w:r>
      <w:r>
        <w:t xml:space="preserve"> </w:t>
      </w:r>
      <w:r>
        <w:t xml:space="preserve">overlay staying out of screenshots, recordings and screen shares — remains a</w:t>
      </w:r>
      <w:r>
        <w:t xml:space="preserve"> </w:t>
      </w:r>
      <w:r>
        <w:t xml:space="preserve">release-blocking requirement of the new translucent UI, and remains best-effort</w:t>
      </w:r>
      <w:r>
        <w:t xml:space="preserve"> </w:t>
      </w:r>
      <w:r>
        <w:t xml:space="preserve">(weaker on macOS 15.4+, never effective against a camera) and disclosed as such.</w:t>
      </w:r>
    </w:p>
    <w:p>
      <w:r>
        <w:pict>
          <v:rect style="width:0;height:1.5pt" o:hralign="center" o:hrstd="t" o:hr="t"/>
        </w:pict>
      </w:r>
    </w:p>
    <w:bookmarkEnd w:id="62"/>
    <w:bookmarkStart w:id="63" w:name="appendix-a-formula-reference"/>
    <w:p>
      <w:pPr>
        <w:pStyle w:val="Heading2"/>
      </w:pPr>
      <w:r>
        <w:t xml:space="preserve">16. Appendix A — Formula Reference</w:t>
      </w:r>
    </w:p>
    <w:p>
      <w:pPr>
        <w:pStyle w:val="FirstParagraph"/>
      </w:pPr>
      <w:r>
        <w:rPr>
          <w:b/>
          <w:bCs/>
        </w:rPr>
        <w:t xml:space="preserve">Black–Scholes call.</w:t>
      </w:r>
      <w:r>
        <w:t xml:space="preserve"> </w:t>
      </w:r>
      <w:r>
        <w:rPr>
          <w:rStyle w:val="VerbatimChar"/>
        </w:rPr>
        <w:t xml:space="preserve">C = SΦ(d₁) − Ke^{−rT}Φ(d₂)</w:t>
      </w:r>
      <w:r>
        <w:t xml:space="preserve">,</w:t>
      </w:r>
      <w:r>
        <w:t xml:space="preserve"> </w:t>
      </w:r>
      <w:r>
        <w:rPr>
          <w:rStyle w:val="VerbatimChar"/>
        </w:rPr>
        <w:t xml:space="preserve">d₁ = [ln(S/K) + (r + σ²/2)T]/(σ√T)</w:t>
      </w:r>
      <w:r>
        <w:t xml:space="preserve">,</w:t>
      </w:r>
      <w:r>
        <w:t xml:space="preserve"> </w:t>
      </w:r>
      <w:r>
        <w:rPr>
          <w:rStyle w:val="VerbatimChar"/>
        </w:rPr>
        <w:t xml:space="preserve">d₂ = d₁ − σ√T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OPM common allocation.</w:t>
      </w:r>
      <w:r>
        <w:t xml:space="preserve"> </w:t>
      </w:r>
      <w:r>
        <w:rPr>
          <w:rStyle w:val="VerbatimChar"/>
        </w:rPr>
        <w:t xml:space="preserve">V_common(W) = [C(W,LP) − C(W,CP)] + (1−p)·C(W,CP)</w:t>
      </w:r>
      <w:r>
        <w:t xml:space="preserve">,</w:t>
      </w:r>
      <w:r>
        <w:t xml:space="preserve"> </w:t>
      </w:r>
      <w:r>
        <w:rPr>
          <w:rStyle w:val="VerbatimChar"/>
        </w:rPr>
        <w:t xml:space="preserve">CP = LP/p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409A back-solve.</w:t>
      </w:r>
      <w:r>
        <w:t xml:space="preserve"> </w:t>
      </w:r>
      <w:r>
        <w:t xml:space="preserve">find</w:t>
      </w:r>
      <w:r>
        <w:t xml:space="preserve"> </w:t>
      </w:r>
      <w:r>
        <w:rPr>
          <w:rStyle w:val="VerbatimChar"/>
        </w:rPr>
        <w:t xml:space="preserve">W*</w:t>
      </w:r>
      <w:r>
        <w:t xml:space="preserve"> </w:t>
      </w:r>
      <w:r>
        <w:t xml:space="preserve">s.t.</w:t>
      </w:r>
      <w:r>
        <w:t xml:space="preserve"> </w:t>
      </w:r>
      <w:r>
        <w:rPr>
          <w:rStyle w:val="VerbatimChar"/>
        </w:rPr>
        <w:t xml:space="preserve">V_pref(W*) = prefShares·recentPrice</w:t>
      </w:r>
      <w:r>
        <w:t xml:space="preserve"> </w:t>
      </w:r>
      <w:r>
        <w:t xml:space="preserve">(bisection);</w:t>
      </w:r>
      <w:r>
        <w:t xml:space="preserve"> </w:t>
      </w:r>
      <w:r>
        <w:rPr>
          <w:rStyle w:val="VerbatimChar"/>
        </w:rPr>
        <w:t xml:space="preserve">commonFMV = V_common(W*) / commonShares · (1 − DLOM)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Level loan payment.</w:t>
      </w:r>
      <w:r>
        <w:t xml:space="preserve"> </w:t>
      </w:r>
      <w:r>
        <w:rPr>
          <w:rStyle w:val="VerbatimChar"/>
        </w:rPr>
        <w:t xml:space="preserve">A = P·i(1+i)ⁿ / [(1+i)ⁿ − 1]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APR/f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Actual/365 accrual.</w:t>
      </w:r>
      <w:r>
        <w:t xml:space="preserve"> </w:t>
      </w:r>
      <w:r>
        <w:rPr>
          <w:rStyle w:val="VerbatimChar"/>
        </w:rPr>
        <w:t xml:space="preserve">accrued = balance · APR · Δdays/365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Vesting.</w:t>
      </w:r>
      <w:r>
        <w:t xml:space="preserve"> </w:t>
      </w:r>
      <w:r>
        <w:rPr>
          <w:rStyle w:val="VerbatimChar"/>
        </w:rPr>
        <w:t xml:space="preserve">vested(m) = 0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m &lt; c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min(N, ⌊N·min(m,M)/M⌋)</w:t>
      </w:r>
      <w:r>
        <w:t xml:space="preserve">;</w:t>
      </w:r>
      <w:r>
        <w:t xml:space="preserve"> </w:t>
      </w:r>
      <w:r>
        <w:rPr>
          <w:rStyle w:val="VerbatimChar"/>
        </w:rPr>
        <w:t xml:space="preserve">exercisable = max(0, vested − exercised)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Fund metrics.</w:t>
      </w:r>
      <w:r>
        <w:t xml:space="preserve"> </w:t>
      </w:r>
      <w:r>
        <w:rPr>
          <w:rStyle w:val="VerbatimChar"/>
        </w:rPr>
        <w:t xml:space="preserve">DPI = D/PI</w:t>
      </w:r>
      <w:r>
        <w:t xml:space="preserve">,</w:t>
      </w:r>
      <w:r>
        <w:t xml:space="preserve"> </w:t>
      </w:r>
      <w:r>
        <w:rPr>
          <w:rStyle w:val="VerbatimChar"/>
        </w:rPr>
        <w:t xml:space="preserve">RVPI = NAV/PI</w:t>
      </w:r>
      <w:r>
        <w:t xml:space="preserve">,</w:t>
      </w:r>
      <w:r>
        <w:t xml:space="preserve"> </w:t>
      </w:r>
      <w:r>
        <w:rPr>
          <w:rStyle w:val="VerbatimChar"/>
        </w:rPr>
        <w:t xml:space="preserve">TVPI = (D+NAV)/PI</w:t>
      </w:r>
      <w:r>
        <w:t xml:space="preserve">,</w:t>
      </w:r>
      <w:r>
        <w:t xml:space="preserve"> </w:t>
      </w:r>
      <w:r>
        <w:rPr>
          <w:rStyle w:val="VerbatimChar"/>
        </w:rPr>
        <w:t xml:space="preserve">MOIC = (realized+unrealized)/cost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IRR.</w:t>
      </w:r>
      <w:r>
        <w:t xml:space="preserve"> </w:t>
      </w:r>
      <w:r>
        <w:t xml:space="preserve">solve</w:t>
      </w:r>
      <w:r>
        <w:t xml:space="preserve"> </w:t>
      </w:r>
      <w:r>
        <w:rPr>
          <w:rStyle w:val="VerbatimChar"/>
        </w:rPr>
        <w:t xml:space="preserve">Σ CF_k/(1+x)^{t_k} = 0</w:t>
      </w:r>
      <w:r>
        <w:t xml:space="preserve"> </w:t>
      </w:r>
      <w:r>
        <w:t xml:space="preserve">(Newton–Raphson + bisection fallback).</w:t>
      </w:r>
    </w:p>
    <w:p>
      <w:pPr>
        <w:pStyle w:val="BodyText"/>
      </w:pPr>
      <w:r>
        <w:rPr>
          <w:b/>
          <w:bCs/>
        </w:rPr>
        <w:t xml:space="preserve">Cosine similarity.</w:t>
      </w:r>
      <w:r>
        <w:t xml:space="preserve"> </w:t>
      </w:r>
      <w:r>
        <w:rPr>
          <w:rStyle w:val="VerbatimChar"/>
        </w:rPr>
        <w:t xml:space="preserve">sim(u,v) = (u·v)/(‖u‖‖v‖)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Xf6a4e14d78d5c1e4a5d62de7a556fda6070efa3"/>
    <w:p>
      <w:pPr>
        <w:pStyle w:val="Heading2"/>
      </w:pPr>
      <w:r>
        <w:t xml:space="preserve">17. Appendix B — Data Model &amp; API Surface (selected)</w:t>
      </w:r>
    </w:p>
    <w:p>
      <w:pPr>
        <w:pStyle w:val="FirstParagraph"/>
      </w:pPr>
      <w:r>
        <w:rPr>
          <w:b/>
          <w:bCs/>
        </w:rPr>
        <w:t xml:space="preserve">Engines.</w:t>
      </w:r>
      <w:r>
        <w:t xml:space="preserve"> </w:t>
      </w:r>
      <w:r>
        <w:rPr>
          <w:rStyle w:val="VerbatimChar"/>
        </w:rPr>
        <w:t xml:space="preserve">option_grants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grant_exercises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option_pools</w:t>
      </w:r>
      <w:r>
        <w:t xml:space="preserve"> </w:t>
      </w:r>
      <w:r>
        <w:t xml:space="preserve">(share plans);</w:t>
      </w:r>
      <w:r>
        <w:t xml:space="preserve"> </w:t>
      </w:r>
      <w:r>
        <w:rPr>
          <w:rStyle w:val="VerbatimChar"/>
        </w:rPr>
        <w:t xml:space="preserve">loans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loan_payments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loan_covenants</w:t>
      </w:r>
      <w:r>
        <w:t xml:space="preserve"> </w:t>
      </w:r>
      <w:r>
        <w:t xml:space="preserve">(credit);</w:t>
      </w:r>
      <w:r>
        <w:t xml:space="preserve"> </w:t>
      </w:r>
      <w:r>
        <w:rPr>
          <w:rStyle w:val="VerbatimChar"/>
        </w:rPr>
        <w:t xml:space="preserve">valuations_409a</w:t>
      </w:r>
      <w:r>
        <w:t xml:space="preserve"> </w:t>
      </w:r>
      <w:r>
        <w:t xml:space="preserve">(OPM inputs + derived FMV/equity value);</w:t>
      </w:r>
      <w:r>
        <w:t xml:space="preserve"> </w:t>
      </w:r>
      <w:r>
        <w:rPr>
          <w:rStyle w:val="VerbatimChar"/>
        </w:rPr>
        <w:t xml:space="preserve">funds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fund_lps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investments</w:t>
      </w:r>
      <w:r>
        <w:t xml:space="preserve">,</w:t>
      </w:r>
      <w:r>
        <w:t xml:space="preserve"> </w:t>
      </w:r>
      <w:r>
        <w:t xml:space="preserve">capital calls/distributions (Fund OS).</w:t>
      </w:r>
    </w:p>
    <w:p>
      <w:pPr>
        <w:pStyle w:val="BodyText"/>
      </w:pPr>
      <w:r>
        <w:rPr>
          <w:b/>
          <w:bCs/>
        </w:rPr>
        <w:t xml:space="preserve">Platform.</w:t>
      </w:r>
      <w:r>
        <w:t xml:space="preserve"> </w:t>
      </w:r>
      <w:r>
        <w:rPr>
          <w:rStyle w:val="VerbatimChar"/>
        </w:rPr>
        <w:t xml:space="preserve">investors</w:t>
      </w:r>
      <w:r>
        <w:t xml:space="preserve"> </w:t>
      </w:r>
      <w:r>
        <w:t xml:space="preserve">(47,275),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founder_submissions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news_articles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REST (selected).</w:t>
      </w:r>
      <w:r>
        <w:t xml:space="preserve"> </w:t>
      </w:r>
      <w:r>
        <w:rPr>
          <w:rStyle w:val="VerbatimChar"/>
        </w:rPr>
        <w:t xml:space="preserve">/api/valuations-409a/[id]</w:t>
      </w:r>
      <w:r>
        <w:t xml:space="preserve"> </w:t>
      </w:r>
      <w:r>
        <w:t xml:space="preserve">(GET/PATCH compute+save);</w:t>
      </w:r>
      <w:r>
        <w:t xml:space="preserve"> </w:t>
      </w:r>
      <w:r>
        <w:rPr>
          <w:rStyle w:val="VerbatimChar"/>
        </w:rPr>
        <w:t xml:space="preserve">/api/loans/[id]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/covenants</w:t>
      </w:r>
      <w:r>
        <w:t xml:space="preserve">);</w:t>
      </w:r>
      <w:r>
        <w:t xml:space="preserve"> </w:t>
      </w:r>
      <w:r>
        <w:rPr>
          <w:rStyle w:val="VerbatimChar"/>
        </w:rPr>
        <w:t xml:space="preserve">/api/share-plans/[id]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/exercises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/pool</w:t>
      </w:r>
      <w:r>
        <w:t xml:space="preserve">);</w:t>
      </w:r>
      <w:r>
        <w:t xml:space="preserve"> </w:t>
      </w:r>
      <w:r>
        <w:rPr>
          <w:rStyle w:val="VerbatimChar"/>
        </w:rPr>
        <w:t xml:space="preserve">/api/billing/{checkout,portal,webhook}</w:t>
      </w:r>
      <w:r>
        <w:t xml:space="preserve">;</w:t>
      </w:r>
      <w:r>
        <w:t xml:space="preserve"> </w:t>
      </w:r>
      <w:r>
        <w:rPr>
          <w:rStyle w:val="VerbatimChar"/>
        </w:rPr>
        <w:t xml:space="preserve">/api/assistant</w:t>
      </w:r>
      <w:r>
        <w:t xml:space="preserve"> </w:t>
      </w:r>
      <w:r>
        <w:t xml:space="preserve">(persona-scoped agent);</w:t>
      </w:r>
      <w:r>
        <w:t xml:space="preserve"> </w:t>
      </w:r>
      <w:r>
        <w:rPr>
          <w:rStyle w:val="VerbatimChar"/>
        </w:rPr>
        <w:t xml:space="preserve">/api/admin/audit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appendix-c-readme-operator-guide"/>
    <w:p>
      <w:pPr>
        <w:pStyle w:val="Heading2"/>
      </w:pPr>
      <w:r>
        <w:t xml:space="preserve">18. Appendix C — README / Operator Guide</w:t>
      </w:r>
    </w:p>
    <w:p>
      <w:pPr>
        <w:pStyle w:val="FirstParagraph"/>
      </w:pPr>
      <w:r>
        <w:t xml:space="preserve">A standalone operator README accompanies this paper as</w:t>
      </w:r>
      <w:r>
        <w:t xml:space="preserve"> </w:t>
      </w:r>
      <w:r>
        <w:rPr>
          <w:rStyle w:val="VerbatimChar"/>
        </w:rPr>
        <w:t xml:space="preserve">README.anker.md</w:t>
      </w:r>
      <w:r>
        <w:t xml:space="preserve"> </w:t>
      </w:r>
      <w:r>
        <w:t xml:space="preserve">(quick-start, environment variables, migrations, and the engine/AI/billing map).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white paper. Figures marked [FIGURE n] are to be inserted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docs/whitepaper-assets/</w:t>
      </w:r>
      <w:r>
        <w:rPr>
          <w:i/>
          <w:iCs/>
        </w:rPr>
        <w:t xml:space="preserve">; testimonials in §14 are placeholders pending named,</w:t>
      </w:r>
      <w:r>
        <w:rPr>
          <w:i/>
          <w:iCs/>
        </w:rPr>
        <w:t xml:space="preserve"> </w:t>
      </w:r>
      <w:r>
        <w:rPr>
          <w:i/>
          <w:iCs/>
        </w:rPr>
        <w:t xml:space="preserve">consented sources; all counts in §13 reflect the production database at the time</w:t>
      </w:r>
      <w:r>
        <w:rPr>
          <w:i/>
          <w:iCs/>
        </w:rPr>
        <w:t xml:space="preserve"> </w:t>
      </w:r>
      <w:r>
        <w:rPr>
          <w:i/>
          <w:iCs/>
        </w:rPr>
        <w:t xml:space="preserve">of writing.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2026-09-27T09:27:39Z</dcterms:created>
  <dcterms:modified xsi:type="dcterms:W3CDTF">2026-09-27T09:27:39Z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