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80"/>
      </w:pPr>
    </w:p>
    <w:p>
      <w:pPr>
        <w:spacing w:before="0" w:after="60"/>
        <w:jc w:val="center"/>
      </w:pPr>
      <w:r>
        <w:rPr>
          <w:rFonts w:ascii="Arial" w:cs="Arial" w:eastAsia="Arial" w:hAnsi="Arial"/>
          <w:b/>
          <w:bCs/>
          <w:color w:val="1B2A4A"/>
          <w:sz w:val="52"/>
          <w:szCs w:val="52"/>
        </w:rPr>
        <w:t xml:space="preserve">Management Fee Structures Across</w:t>
      </w:r>
    </w:p>
    <w:p>
      <w:pPr>
        <w:spacing w:before="0" w:after="200"/>
        <w:jc w:val="center"/>
      </w:pPr>
      <w:r>
        <w:rPr>
          <w:rFonts w:ascii="Arial" w:cs="Arial" w:eastAsia="Arial" w:hAnsi="Arial"/>
          <w:b/>
          <w:bCs/>
          <w:color w:val="1B2A4A"/>
          <w:sz w:val="52"/>
          <w:szCs w:val="52"/>
        </w:rPr>
        <w:t xml:space="preserve">Venture Capital Fund Sizes</w:t>
      </w:r>
    </w:p>
    <w:p>
      <w:pPr>
        <w:spacing w:before="0" w:after="80"/>
        <w:jc w:val="center"/>
      </w:pPr>
      <w:r>
        <w:rPr>
          <w:rFonts w:ascii="Arial" w:cs="Arial" w:eastAsia="Arial" w:hAnsi="Arial"/>
          <w:i/>
          <w:iCs/>
          <w:color w:val="2D3E5C"/>
          <w:sz w:val="26"/>
          <w:szCs w:val="26"/>
        </w:rPr>
        <w:t xml:space="preserve">A Comparative Analysis by Fund Size, Strategy, Industry Focus, and Geography</w:t>
      </w:r>
    </w:p>
    <w:p>
      <w:pPr>
        <w:pBdr>
          <w:bottom w:val="single" w:color="B0BEC5" w:sz="6" w:space="1"/>
        </w:pBdr>
        <w:spacing w:before="240" w:after="240"/>
      </w:pPr>
    </w:p>
    <w:p>
      <w:pPr>
        <w:spacing w:before="120" w:after="60"/>
        <w:jc w:val="center"/>
      </w:pPr>
      <w:r>
        <w:rPr>
          <w:rFonts w:ascii="Arial" w:cs="Arial" w:eastAsia="Arial" w:hAnsi="Arial"/>
          <w:color w:val="4A5568"/>
          <w:sz w:val="22"/>
          <w:szCs w:val="22"/>
        </w:rPr>
        <w:t xml:space="preserve">A Research Paper Prepared for Anker Fund</w:t>
      </w:r>
    </w:p>
    <w:p>
      <w:pPr>
        <w:spacing w:before="0" w:after="480"/>
        <w:jc w:val="center"/>
      </w:pPr>
      <w:r>
        <w:rPr>
          <w:rFonts w:ascii="Arial" w:cs="Arial" w:eastAsia="Arial" w:hAnsi="Arial"/>
          <w:color w:val="4A5568"/>
          <w:sz w:val="22"/>
          <w:szCs w:val="22"/>
        </w:rPr>
        <w:t xml:space="preserve">Berlin, 2024</w:t>
      </w:r>
    </w:p>
    <w:p>
      <w:pPr>
        <w:pStyle w:val="Heading1"/>
        <w:spacing w:before="360" w:after="120"/>
      </w:pPr>
      <w:r>
        <w:rPr>
          <w:rFonts w:ascii="Arial" w:cs="Arial" w:eastAsia="Arial" w:hAnsi="Arial"/>
          <w:b/>
          <w:bCs/>
          <w:color w:val="1B2A4A"/>
          <w:sz w:val="28"/>
          <w:szCs w:val="28"/>
        </w:rPr>
        <w:t xml:space="preserve">Abstract</w:t>
      </w:r>
    </w:p>
    <w:p>
      <w:pPr>
        <w:spacing w:before="0" w:after="160"/>
        <w:ind w:firstLine="720"/>
        <w:jc w:val="both"/>
      </w:pPr>
      <w:r>
        <w:rPr>
          <w:rFonts w:ascii="Arial" w:cs="Arial" w:eastAsia="Arial" w:hAnsi="Arial"/>
          <w:color w:val="000000"/>
          <w:sz w:val="22"/>
          <w:szCs w:val="22"/>
        </w:rPr>
        <w:t xml:space="preserve">This paper examines how venture capital management fee structures vary across fund sizes and how those structures are influenced by additional variables including investment stage, industry specialization, and geography. The core finding is that the canonical "2 and 20" model remains the modal benchmark in venture capital, but actual fee practice is more heterogeneous than that shorthand suggests. Smaller and emerging funds are more likely to use higher front-loaded fees, while larger and more established funds often retain pricing power through standard 2% fees with stronger economics elsewhere, including higher carry or lower percentage operating burdens. Post-investment-period treatment is a major axis of variation: some funds keep fees based on committed capital, while others step down by rate, basis, or both.</w:t>
      </w:r>
      <w:r>
        <w:rPr>
          <w:rStyle w:val="FootnoteReference"/>
        </w:rPr>
        <w:footnoteReference w:id="1"/>
      </w:r>
      <w:r>
        <w:rPr>
          <w:rStyle w:val="FootnoteReference"/>
        </w:rPr>
        <w:footnoteReference w:id="2"/>
      </w:r>
    </w:p>
    <w:p>
      <w:pPr>
        <w:spacing w:before="0" w:after="160"/>
        <w:ind w:firstLine="720"/>
        <w:jc w:val="both"/>
      </w:pPr>
      <w:r>
        <w:rPr>
          <w:rFonts w:ascii="Arial" w:cs="Arial" w:eastAsia="Arial" w:hAnsi="Arial"/>
          <w:color w:val="000000"/>
          <w:sz w:val="22"/>
          <w:szCs w:val="22"/>
        </w:rPr>
        <w:t xml:space="preserve">The literature also shows that fee structures cannot be analyzed in isolation from fund operating economics. Smaller funds face a structural challenge: they have less asset base over which to spread fixed costs, yet still need enough revenue to support sourcing, diligence, portfolio support, compliance, reporting, and administration. This is especially relevant for cross-border or specialized managers. European venture funds commonly charge 2%–2.5% during the investment period, and emerging-market investors increasingly argue for predictable budgeted fees rather than sharp post-investment-period cliffs. For Anker Fund, a proposed €5 million Berlin–East Africa pre-seed/seed vehicle, these findings imply that management fee design is not just an accounting issue but a strategic decision affecting survivability, LP alignment, and investable capital.</w:t>
      </w:r>
      <w:r>
        <w:rPr>
          <w:rStyle w:val="FootnoteReference"/>
        </w:rPr>
        <w:footnoteReference w:id="3"/>
      </w:r>
      <w:r>
        <w:rPr>
          <w:rStyle w:val="FootnoteReference"/>
        </w:rPr>
        <w:footnoteReference w:id="5"/>
      </w:r>
    </w:p>
    <w:p>
      <w:r>
        <w:br w:type="page"/>
      </w:r>
    </w:p>
    <w:p>
      <w:pPr>
        <w:pStyle w:val="Heading1"/>
        <w:spacing w:before="360" w:after="120"/>
      </w:pPr>
      <w:r>
        <w:rPr>
          <w:rFonts w:ascii="Arial" w:cs="Arial" w:eastAsia="Arial" w:hAnsi="Arial"/>
          <w:b/>
          <w:bCs/>
          <w:color w:val="1B2A4A"/>
          <w:sz w:val="28"/>
          <w:szCs w:val="28"/>
        </w:rPr>
        <w:t xml:space="preserve">1.  Introduction</w:t>
      </w:r>
    </w:p>
    <w:p>
      <w:pPr>
        <w:spacing w:before="0" w:after="160"/>
        <w:ind w:firstLine="720"/>
        <w:jc w:val="both"/>
      </w:pPr>
      <w:r>
        <w:rPr>
          <w:rFonts w:ascii="Arial" w:cs="Arial" w:eastAsia="Arial" w:hAnsi="Arial"/>
          <w:color w:val="000000"/>
          <w:sz w:val="22"/>
          <w:szCs w:val="22"/>
        </w:rPr>
        <w:t xml:space="preserve">Management fees are the primary fixed revenue stream of a venture capital fund's management company. In theory, they exist to cover operating costs rather than to generate investment profits. In practice, however, management fees shape a fund's staffing model, pace of deployment, portfolio support capacity, fundraising cadence, and even GP–LP incentive alignment. A fund that charges too little may become operationally fragile; a fund that charges too much may impair LP net returns or create perceived agency problems. This tension is especially acute in venture capital, where funds are closed-end, operationally intensive, and often highly dependent on the GP's non-scalable judgment and support.</w:t>
      </w:r>
      <w:r>
        <w:rPr>
          <w:rStyle w:val="FootnoteReference"/>
        </w:rPr>
        <w:footnoteReference w:id="1"/>
      </w:r>
      <w:r>
        <w:rPr>
          <w:rStyle w:val="FootnoteReference"/>
        </w:rPr>
        <w:footnoteReference w:id="17"/>
      </w:r>
    </w:p>
    <w:p>
      <w:pPr>
        <w:spacing w:before="0" w:after="160"/>
        <w:ind w:firstLine="720"/>
        <w:jc w:val="both"/>
      </w:pPr>
      <w:r>
        <w:rPr>
          <w:rFonts w:ascii="Arial" w:cs="Arial" w:eastAsia="Arial" w:hAnsi="Arial"/>
          <w:color w:val="000000"/>
          <w:sz w:val="22"/>
          <w:szCs w:val="22"/>
        </w:rPr>
        <w:t xml:space="preserve">This topic is particularly important for Anker Fund. Anker proposes a €5 million pre-seed/seed fund focused on B2B SaaS, HealthTech, and Biotech across Europe and East Africa, with a thesis built around active operational support, founder-operator judgment, and cross-continental ecosystem access. That strategy is inherently operationally demanding. It likely requires travel, diligence across multiple regulatory environments, ongoing LP reporting, and ecosystem building beyond what a passive micro-fund might require. As a result, fee structure design is central to whether the fund can sustainably execute its thesis.</w:t>
      </w:r>
      <w:r>
        <w:rPr>
          <w:rStyle w:val="FootnoteReference"/>
        </w:rPr>
        <w:footnoteReference w:id="16"/>
      </w:r>
    </w:p>
    <w:p>
      <w:pPr>
        <w:spacing w:before="0" w:after="160"/>
        <w:ind w:firstLine="720"/>
        <w:jc w:val="both"/>
      </w:pPr>
      <w:r>
        <w:rPr>
          <w:rFonts w:ascii="Arial" w:cs="Arial" w:eastAsia="Arial" w:hAnsi="Arial"/>
          <w:color w:val="000000"/>
          <w:sz w:val="22"/>
          <w:szCs w:val="22"/>
        </w:rPr>
        <w:t xml:space="preserve">This paper addresses four research questions. First, how do management fee structures differ across VC fund sizes? Second, how do stage and specialization affect those structures? Third, what differences appear across geographies, especially Europe and emerging markets? Fourth, what fee architecture appears most defensible for a small, thesis-driven fund such as Anker?</w:t>
      </w:r>
    </w:p>
    <w:p>
      <w:pPr>
        <w:pStyle w:val="Heading1"/>
        <w:spacing w:before="360" w:after="120"/>
      </w:pPr>
      <w:r>
        <w:rPr>
          <w:rFonts w:ascii="Arial" w:cs="Arial" w:eastAsia="Arial" w:hAnsi="Arial"/>
          <w:b/>
          <w:bCs/>
          <w:color w:val="1B2A4A"/>
          <w:sz w:val="28"/>
          <w:szCs w:val="28"/>
        </w:rPr>
        <w:t xml:space="preserve">2.  Research Design and Methodological Note</w:t>
      </w:r>
    </w:p>
    <w:p>
      <w:pPr>
        <w:spacing w:before="0" w:after="160"/>
        <w:ind w:firstLine="720"/>
        <w:jc w:val="both"/>
      </w:pPr>
      <w:r>
        <w:rPr>
          <w:rFonts w:ascii="Arial" w:cs="Arial" w:eastAsia="Arial" w:hAnsi="Arial"/>
          <w:color w:val="000000"/>
          <w:sz w:val="22"/>
          <w:szCs w:val="22"/>
        </w:rPr>
        <w:t xml:space="preserve">This is a comparative doctrinal and empirical synthesis drawing on three types of evidence: academic literature, legal and market reports, and practitioner operating data. The academic foundation comes from Metrick and Yasuda's fund-economics study and their subsequent survey of private equity, together with Kate Litvak's analysis of venture limited partnership agreements. Market practice is supplemented with data from Carta, Proskauer, GoVCLab, Sydecar, Capria, Kruze, and VentureSouth.</w:t>
      </w:r>
      <w:r>
        <w:rPr>
          <w:rStyle w:val="FootnoteReference"/>
        </w:rPr>
        <w:footnoteReference w:id="1"/>
      </w:r>
      <w:r>
        <w:rPr>
          <w:rStyle w:val="FootnoteReference"/>
        </w:rPr>
        <w:footnoteReference w:id="14"/>
      </w:r>
      <w:r>
        <w:rPr>
          <w:rStyle w:val="FootnoteReference"/>
        </w:rPr>
        <w:footnoteReference w:id="2"/>
      </w:r>
    </w:p>
    <w:p>
      <w:pPr>
        <w:spacing w:before="0" w:after="160"/>
        <w:ind w:firstLine="720"/>
        <w:jc w:val="both"/>
      </w:pPr>
      <w:r>
        <w:rPr>
          <w:rFonts w:ascii="Arial" w:cs="Arial" w:eastAsia="Arial" w:hAnsi="Arial"/>
          <w:color w:val="000000"/>
          <w:sz w:val="22"/>
          <w:szCs w:val="22"/>
        </w:rPr>
        <w:t xml:space="preserve">A limitation must be stated clearly: publicly observable management fee data in venture capital is incomplete, because limited partnership agreements are private and funds disclose selectively. Accordingly, direct empirical evidence is strongest on fund size and general fee mechanics, moderate on geography, and weaker on sector-specific fee differentiation. Where industry specialization is discussed below, the evidence is often inferential: specialized sectors such as biotech or deeptech typically imply heavier diligence and longer support cycles, which can justify upper-end fee schedules, but the public market does not disclose large, clean datasets of fee rates disaggregated by sector.</w:t>
      </w:r>
      <w:r>
        <w:rPr>
          <w:rStyle w:val="FootnoteReference"/>
        </w:rPr>
        <w:footnoteReference w:id="12"/>
      </w:r>
    </w:p>
    <w:p>
      <w:pPr>
        <w:pStyle w:val="Heading1"/>
        <w:spacing w:before="360" w:after="120"/>
      </w:pPr>
      <w:r>
        <w:rPr>
          <w:rFonts w:ascii="Arial" w:cs="Arial" w:eastAsia="Arial" w:hAnsi="Arial"/>
          <w:b/>
          <w:bCs/>
          <w:color w:val="1B2A4A"/>
          <w:sz w:val="28"/>
          <w:szCs w:val="28"/>
        </w:rPr>
        <w:t xml:space="preserve">3.  Literature Review</w:t>
      </w:r>
    </w:p>
    <w:p>
      <w:pPr>
        <w:spacing w:before="0" w:after="160"/>
        <w:ind w:firstLine="720"/>
        <w:jc w:val="both"/>
      </w:pPr>
      <w:r>
        <w:rPr>
          <w:rFonts w:ascii="Arial" w:cs="Arial" w:eastAsia="Arial" w:hAnsi="Arial"/>
          <w:color w:val="000000"/>
          <w:sz w:val="22"/>
          <w:szCs w:val="22"/>
        </w:rPr>
        <w:t xml:space="preserve">Academic and practitioner sources converge on one point: venture capital management fees are most commonly set at about 2% of committed capital, especially during the investment period. Yet the "2%" label obscures several important dimensions: fee level, fee base, fee duration, and fee step-down mechanics. Metrick and Yasuda identify four common methods of fee calculation. The first is a flat percentage on committed capital throughout fund life. The second is a declining percentage after the investment period. The third is a constant percentage that shifts from committed to invested capital. The fourth is a hybrid that uses both a lower rate and a changed basis. Their findings show that the initial fee level is most commonly 2%, but concessions after the investment period are common.</w:t>
      </w:r>
      <w:r>
        <w:rPr>
          <w:rStyle w:val="FootnoteReference"/>
        </w:rPr>
        <w:footnoteReference w:id="14"/>
      </w:r>
    </w:p>
    <w:p>
      <w:pPr>
        <w:spacing w:before="0" w:after="160"/>
        <w:ind w:firstLine="720"/>
        <w:jc w:val="both"/>
      </w:pPr>
      <w:r>
        <w:rPr>
          <w:rFonts w:ascii="Arial" w:cs="Arial" w:eastAsia="Arial" w:hAnsi="Arial"/>
          <w:color w:val="000000"/>
          <w:sz w:val="22"/>
          <w:szCs w:val="22"/>
        </w:rPr>
        <w:t xml:space="preserve">Their findings also demonstrate that venture capital differs materially from buyout. Buyout funds are far more likely to switch post-investment fees to invested capital and to scale fund size aggressively as managers gain experience. VC, by contrast, is less scalable because value creation depends more on partner time, sourcing judgment, and company-level support. That matters because it means fee structures in venture capital are not simply inherited private equity norms; they reflect a different production function. Venture funds often need stable fee revenue because the labor of venture is less automatable and less scalable than leveraged buyout work.</w:t>
      </w:r>
      <w:r>
        <w:rPr>
          <w:rStyle w:val="FootnoteReference"/>
        </w:rPr>
        <w:footnoteReference w:id="8"/>
      </w:r>
      <w:r>
        <w:rPr>
          <w:rStyle w:val="FootnoteReference"/>
        </w:rPr>
        <w:footnoteReference w:id="17"/>
      </w:r>
    </w:p>
    <w:p>
      <w:pPr>
        <w:spacing w:before="0" w:after="160"/>
        <w:ind w:firstLine="720"/>
        <w:jc w:val="both"/>
      </w:pPr>
      <w:r>
        <w:rPr>
          <w:rFonts w:ascii="Arial" w:cs="Arial" w:eastAsia="Arial" w:hAnsi="Arial"/>
          <w:color w:val="000000"/>
          <w:sz w:val="22"/>
          <w:szCs w:val="22"/>
        </w:rPr>
        <w:t xml:space="preserve">The legal-contract literature further demonstrates that venture fee arrangements are not uniform. Litvak's analysis of venture limited partnership agreements found multiple fee calculation methods, with flat-fee structures historically common and significant heterogeneity across agreements. That finding is important for analytical purposes because it warns against presenting any single fee pattern as universal. The better conclusion is that venture capital operates within a bounded norm—roughly around 2% and 20%—inside which real contractual variation is substantial.</w:t>
      </w:r>
      <w:r>
        <w:rPr>
          <w:rStyle w:val="FootnoteReference"/>
        </w:rPr>
        <w:footnoteReference w:id="2"/>
      </w:r>
      <w:r>
        <w:rPr>
          <w:rStyle w:val="FootnoteReference"/>
        </w:rPr>
        <w:footnoteReference w:id="13"/>
      </w:r>
    </w:p>
    <w:p>
      <w:pPr>
        <w:spacing w:before="0" w:after="160"/>
        <w:ind w:firstLine="720"/>
        <w:jc w:val="both"/>
      </w:pPr>
      <w:r>
        <w:rPr>
          <w:rFonts w:ascii="Arial" w:cs="Arial" w:eastAsia="Arial" w:hAnsi="Arial"/>
          <w:color w:val="000000"/>
          <w:sz w:val="22"/>
          <w:szCs w:val="22"/>
        </w:rPr>
        <w:t xml:space="preserve">Recent market sources reinforce this view. Carta's fund-economics data shows that across funds of different sizes, the median management fee remains 2% and the median carry remains 20%. But Carta also shows that smaller funds face materially higher operating burdens as a share of assets under management. Over the first five years, a median venture fund between $1 million and $10 million spends approximately 3.4% of total fund size on operating expenses, compared with approximately 1.0% for funds above $100 million. This scaling fact is crucial: even if two funds charge the same nominal 2%, the smaller one is structurally more strained.</w:t>
      </w:r>
      <w:r>
        <w:rPr>
          <w:rStyle w:val="FootnoteReference"/>
        </w:rPr>
        <w:footnoteReference w:id="10"/>
      </w:r>
      <w:r>
        <w:rPr>
          <w:rStyle w:val="FootnoteReference"/>
        </w:rPr>
        <w:footnoteReference w:id="15"/>
      </w:r>
    </w:p>
    <w:p>
      <w:pPr>
        <w:pStyle w:val="Heading1"/>
        <w:spacing w:before="360" w:after="120"/>
      </w:pPr>
      <w:r>
        <w:rPr>
          <w:rFonts w:ascii="Arial" w:cs="Arial" w:eastAsia="Arial" w:hAnsi="Arial"/>
          <w:b/>
          <w:bCs/>
          <w:color w:val="1B2A4A"/>
          <w:sz w:val="28"/>
          <w:szCs w:val="28"/>
        </w:rPr>
        <w:t xml:space="preserve">4.  Core Findings</w:t>
      </w:r>
    </w:p>
    <w:p>
      <w:pPr>
        <w:pStyle w:val="Heading2"/>
        <w:spacing w:before="240" w:after="80"/>
      </w:pPr>
      <w:r>
        <w:rPr>
          <w:rFonts w:ascii="Arial" w:cs="Arial" w:eastAsia="Arial" w:hAnsi="Arial"/>
          <w:b/>
          <w:bCs/>
          <w:color w:val="2D3E5C"/>
          <w:sz w:val="24"/>
          <w:szCs w:val="24"/>
        </w:rPr>
        <w:t xml:space="preserve">4.1  The benchmark model remains "2 and 20," but actual implementation varies</w:t>
      </w:r>
    </w:p>
    <w:p>
      <w:pPr>
        <w:spacing w:before="0" w:after="160"/>
        <w:ind w:firstLine="720"/>
        <w:jc w:val="both"/>
      </w:pPr>
      <w:r>
        <w:rPr>
          <w:rFonts w:ascii="Arial" w:cs="Arial" w:eastAsia="Arial" w:hAnsi="Arial"/>
          <w:color w:val="000000"/>
          <w:sz w:val="22"/>
          <w:szCs w:val="22"/>
        </w:rPr>
        <w:t xml:space="preserve">The modal market norm remains a management fee of 2% to 2.5% and carry of 20%. GoVCLab frames 1% to 2.5% as the common management-fee range, while Sydecar places emerging-manager norms at 2% to 2.5% and 20% carry. Carta similarly reports that the median venture fund still sits at 2 and 20. Thus, the central benchmark has not disappeared; what has changed is how managers modify it to fit fund size and operating realities.</w:t>
      </w:r>
      <w:r>
        <w:rPr>
          <w:rStyle w:val="FootnoteReference"/>
        </w:rPr>
        <w:footnoteReference w:id="7"/>
      </w:r>
      <w:r>
        <w:rPr>
          <w:rStyle w:val="FootnoteReference"/>
        </w:rPr>
        <w:footnoteReference w:id="4"/>
      </w:r>
      <w:r>
        <w:rPr>
          <w:rStyle w:val="FootnoteReference"/>
        </w:rPr>
        <w:footnoteReference w:id="10"/>
      </w:r>
    </w:p>
    <w:p>
      <w:pPr>
        <w:pStyle w:val="Heading2"/>
        <w:spacing w:before="240" w:after="80"/>
      </w:pPr>
      <w:r>
        <w:rPr>
          <w:rFonts w:ascii="Arial" w:cs="Arial" w:eastAsia="Arial" w:hAnsi="Arial"/>
          <w:b/>
          <w:bCs/>
          <w:color w:val="2D3E5C"/>
          <w:sz w:val="24"/>
          <w:szCs w:val="24"/>
        </w:rPr>
        <w:t xml:space="preserve">4.2  Fund size is the strongest observable driver of fee design</w:t>
      </w:r>
    </w:p>
    <w:p>
      <w:pPr>
        <w:spacing w:before="0" w:after="160"/>
        <w:ind w:firstLine="720"/>
        <w:jc w:val="both"/>
      </w:pPr>
      <w:r>
        <w:rPr>
          <w:rFonts w:ascii="Arial" w:cs="Arial" w:eastAsia="Arial" w:hAnsi="Arial"/>
          <w:color w:val="000000"/>
          <w:sz w:val="22"/>
          <w:szCs w:val="22"/>
        </w:rPr>
        <w:t xml:space="preserve">Smaller funds are more likely to need front-loaded economics because fixed operating costs consume a larger share of assets under management. Sydecar explicitly notes that emerging managers under $30 million often use 3%–4% during the 2–3 year investment period, followed by 0.5%–1% in later years, because a pure 2% charge on a modest fund may not support a viable platform. GoVCLab illustrates the same logic in a hypothetical emerging-manager model for a $5 million fund: 3% for years one through four, 2% for years five and six, and 1% for years seven through ten—averaging 2% over the decade.</w:t>
      </w:r>
      <w:r>
        <w:rPr>
          <w:rStyle w:val="FootnoteReference"/>
        </w:rPr>
        <w:footnoteReference w:id="19"/>
      </w:r>
      <w:r>
        <w:rPr>
          <w:rStyle w:val="FootnoteReference"/>
        </w:rPr>
        <w:footnoteReference w:id="20"/>
      </w:r>
    </w:p>
    <w:p>
      <w:pPr>
        <w:spacing w:before="0" w:after="160"/>
        <w:ind w:firstLine="720"/>
        <w:jc w:val="both"/>
      </w:pPr>
      <w:r>
        <w:rPr>
          <w:rFonts w:ascii="Arial" w:cs="Arial" w:eastAsia="Arial" w:hAnsi="Arial"/>
          <w:color w:val="000000"/>
          <w:sz w:val="22"/>
          <w:szCs w:val="22"/>
        </w:rPr>
        <w:t xml:space="preserve">Larger funds, by contrast, often do not need higher fee percentages to support the platform because scale itself solves the revenue problem. Carta's data shows that large funds devote a far smaller share of capital to operating expenses, which means the same nominal fee produces far more operating slack. At the same time, top large funds may command higher carry or premium economics because of market power and LP demand, even if their fee percentage stays around 2%.</w:t>
      </w:r>
      <w:r>
        <w:rPr>
          <w:rStyle w:val="FootnoteReference"/>
        </w:rPr>
        <w:footnoteReference w:id="6"/>
      </w:r>
      <w:r>
        <w:rPr>
          <w:rStyle w:val="FootnoteReference"/>
        </w:rPr>
        <w:footnoteReference w:id="15"/>
      </w:r>
    </w:p>
    <w:p>
      <w:pPr>
        <w:pStyle w:val="Heading2"/>
        <w:spacing w:before="240" w:after="80"/>
      </w:pPr>
      <w:r>
        <w:rPr>
          <w:rFonts w:ascii="Arial" w:cs="Arial" w:eastAsia="Arial" w:hAnsi="Arial"/>
          <w:b/>
          <w:bCs/>
          <w:color w:val="2D3E5C"/>
          <w:sz w:val="24"/>
          <w:szCs w:val="24"/>
        </w:rPr>
        <w:t xml:space="preserve">4.3  Step-downs matter as much as headline fee percentages</w:t>
      </w:r>
    </w:p>
    <w:p>
      <w:pPr>
        <w:spacing w:before="0" w:after="160"/>
        <w:ind w:firstLine="720"/>
        <w:jc w:val="both"/>
      </w:pPr>
      <w:r>
        <w:rPr>
          <w:rFonts w:ascii="Arial" w:cs="Arial" w:eastAsia="Arial" w:hAnsi="Arial"/>
          <w:color w:val="000000"/>
          <w:sz w:val="22"/>
          <w:szCs w:val="22"/>
        </w:rPr>
        <w:t xml:space="preserve">One of the most important findings in the literature is that the fee headline can be misleading unless one asks three further questions: what is the base, when does it change, and how much does it drop? Metrick and Yasuda show that many funds offer LP concessions after the investment period by lowering the rate, changing the base, or both. Kruze documents a common industry pattern in which fees decline after the first five years, often by 25 basis points annually, eventually reaching levels such as 1.5% and then 1% as the fund matures.</w:t>
      </w:r>
      <w:r>
        <w:rPr>
          <w:rStyle w:val="FootnoteReference"/>
        </w:rPr>
        <w:footnoteReference w:id="14"/>
      </w:r>
      <w:r>
        <w:rPr>
          <w:rStyle w:val="FootnoteReference"/>
        </w:rPr>
        <w:footnoteReference w:id="9"/>
      </w:r>
    </w:p>
    <w:p>
      <w:pPr>
        <w:spacing w:before="0" w:after="160"/>
        <w:ind w:firstLine="720"/>
        <w:jc w:val="both"/>
      </w:pPr>
      <w:r>
        <w:rPr>
          <w:rFonts w:ascii="Arial" w:cs="Arial" w:eastAsia="Arial" w:hAnsi="Arial"/>
          <w:color w:val="000000"/>
          <w:sz w:val="22"/>
          <w:szCs w:val="22"/>
        </w:rPr>
        <w:t xml:space="preserve">Yet there is no single VC consensus on whether post-investment fees should continue on committed capital or switch to invested capital. VentureSouth cites evidence from Litvak showing that flat-fee structures on commitments were historically common, while Metrick and Yasuda show only 42.6% of venture funds switching to an invested-capital basis after the investment period, far below the 84.0% figure for buyout funds. The implication is that venture funds often preserve greater fee predictability than private equity funds, likely because venture reserve management and long-duration portfolio support make an invested-capital-only fee base less aligned with actual work patterns.</w:t>
      </w:r>
      <w:r>
        <w:rPr>
          <w:rStyle w:val="FootnoteReference"/>
        </w:rPr>
        <w:footnoteReference w:id="13"/>
      </w:r>
      <w:r>
        <w:rPr>
          <w:rStyle w:val="FootnoteReference"/>
        </w:rPr>
        <w:footnoteReference w:id="8"/>
      </w:r>
    </w:p>
    <w:p>
      <w:pPr>
        <w:pStyle w:val="Heading2"/>
        <w:spacing w:before="240" w:after="80"/>
      </w:pPr>
      <w:r>
        <w:rPr>
          <w:rFonts w:ascii="Arial" w:cs="Arial" w:eastAsia="Arial" w:hAnsi="Arial"/>
          <w:b/>
          <w:bCs/>
          <w:color w:val="2D3E5C"/>
          <w:sz w:val="24"/>
          <w:szCs w:val="24"/>
        </w:rPr>
        <w:t xml:space="preserve">4.4  Geography affects fee norms, especially in Europe and emerging markets</w:t>
      </w:r>
    </w:p>
    <w:p>
      <w:pPr>
        <w:spacing w:before="0" w:after="160"/>
        <w:ind w:firstLine="720"/>
        <w:jc w:val="both"/>
      </w:pPr>
      <w:r>
        <w:rPr>
          <w:rFonts w:ascii="Arial" w:cs="Arial" w:eastAsia="Arial" w:hAnsi="Arial"/>
          <w:color w:val="000000"/>
          <w:sz w:val="22"/>
          <w:szCs w:val="22"/>
        </w:rPr>
        <w:t xml:space="preserve">European VC market evidence suggests that 2% to 2.5% remains standard during the investment period. Proskauer reports that these fees are generally calculated on total commitments and that European venture funds commonly continue to calculate post-investment fees on commitments rather than invested capital, unlike traditional private equity practice. Step-downs are still common among funds charging 2% or more, with reductions ranging from 0.25 to 1.0 percentage points.</w:t>
      </w:r>
      <w:r>
        <w:rPr>
          <w:rStyle w:val="FootnoteReference"/>
        </w:rPr>
        <w:footnoteReference w:id="3"/>
      </w:r>
      <w:r>
        <w:rPr>
          <w:rStyle w:val="FootnoteReference"/>
        </w:rPr>
        <w:footnoteReference w:id="18"/>
      </w:r>
    </w:p>
    <w:p>
      <w:pPr>
        <w:spacing w:before="0" w:after="160"/>
        <w:ind w:firstLine="720"/>
        <w:jc w:val="both"/>
      </w:pPr>
      <w:r>
        <w:rPr>
          <w:rFonts w:ascii="Arial" w:cs="Arial" w:eastAsia="Arial" w:hAnsi="Arial"/>
          <w:color w:val="000000"/>
          <w:sz w:val="22"/>
          <w:szCs w:val="22"/>
        </w:rPr>
        <w:t xml:space="preserve">In emerging markets, fee discussions appear less centered on percentages and more on predictability and operational realism. Capria argues that for emerging-market venture and early-growth funds under $100 million, the classic private equity step-down model can create severe budget cliffs and distorted incentives. Because venture funds often deploy only 40–50% of commitments by the end of the formal investment period while preserving reserves for follow-on investments, a switch to net invested assets can cut management-fee revenue sharply at precisely the moment the GP still needs to support the portfolio. Capria therefore recommends a predefined year-by-year operating budget—effectively a smoother fee schedule designed around actual operating needs rather than abstract post-investment formulas.</w:t>
      </w:r>
      <w:r>
        <w:rPr>
          <w:rStyle w:val="FootnoteReference"/>
        </w:rPr>
        <w:footnoteReference w:id="5"/>
      </w:r>
      <w:r>
        <w:rPr>
          <w:rStyle w:val="FootnoteReference"/>
        </w:rPr>
        <w:footnoteReference w:id="11"/>
      </w:r>
    </w:p>
    <w:p>
      <w:pPr>
        <w:pStyle w:val="Heading2"/>
        <w:spacing w:before="240" w:after="80"/>
      </w:pPr>
      <w:r>
        <w:rPr>
          <w:rFonts w:ascii="Arial" w:cs="Arial" w:eastAsia="Arial" w:hAnsi="Arial"/>
          <w:b/>
          <w:bCs/>
          <w:color w:val="2D3E5C"/>
          <w:sz w:val="24"/>
          <w:szCs w:val="24"/>
        </w:rPr>
        <w:t xml:space="preserve">4.5  Industry specialization likely affects fees indirectly, through operating intensity</w:t>
      </w:r>
    </w:p>
    <w:p>
      <w:pPr>
        <w:spacing w:before="0" w:after="160"/>
        <w:ind w:firstLine="720"/>
        <w:jc w:val="both"/>
      </w:pPr>
      <w:r>
        <w:rPr>
          <w:rFonts w:ascii="Arial" w:cs="Arial" w:eastAsia="Arial" w:hAnsi="Arial"/>
          <w:color w:val="000000"/>
          <w:sz w:val="22"/>
          <w:szCs w:val="22"/>
        </w:rPr>
        <w:t xml:space="preserve">Public fee datasets rarely disaggregate management fees cleanly by sector, but the available literature supports an indirect relationship. GoVCLab notes that fee levels are influenced by investment strategy and stage, meaning funds requiring more expertise, diligence time, and resources can justify higher fees. For a sector-specialized fund—especially in HealthTech or Biotech—operating costs may rise because diligence often requires technical advisors, regulatory review, longer timelines, and more active portfolio support. Thus, the strongest academically defensible claim is not that biotech funds always charge a fixed rate, but rather that sector specialization strengthens the case for upper-end or more predictable fee schedules because the operating model is more resource-intensive.</w:t>
      </w:r>
      <w:r>
        <w:rPr>
          <w:rStyle w:val="FootnoteReference"/>
        </w:rPr>
        <w:footnoteReference w:id="12"/>
      </w:r>
      <w:r>
        <w:rPr>
          <w:rStyle w:val="FootnoteReference"/>
        </w:rPr>
        <w:footnoteReference w:id="7"/>
      </w:r>
    </w:p>
    <w:p>
      <w:pPr>
        <w:pStyle w:val="Heading1"/>
        <w:spacing w:before="360" w:after="120"/>
      </w:pPr>
      <w:r>
        <w:rPr>
          <w:rFonts w:ascii="Arial" w:cs="Arial" w:eastAsia="Arial" w:hAnsi="Arial"/>
          <w:b/>
          <w:bCs/>
          <w:color w:val="1B2A4A"/>
          <w:sz w:val="28"/>
          <w:szCs w:val="28"/>
        </w:rPr>
        <w:t xml:space="preserve">5.  Comparative Table: Management Fee Structures Across VC Fund Types</w:t>
      </w:r>
    </w:p>
    <w:p>
      <w:pPr>
        <w:spacing w:before="0" w:after="80"/>
      </w:pP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200"/>
        <w:gridCol w:w="1050"/>
        <w:gridCol w:w="1200"/>
        <w:gridCol w:w="1050"/>
        <w:gridCol w:w="1100"/>
        <w:gridCol w:w="1100"/>
        <w:gridCol w:w="2087"/>
      </w:tblGrid>
      <w:tr>
        <w:trPr>
          <w:tblHeader/>
        </w:trPr>
        <w:tc>
          <w:tcPr>
            <w:tcW w:type="dxa" w:w="1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Fund Profile</w:t>
            </w:r>
          </w:p>
        </w:tc>
        <w:tc>
          <w:tcPr>
            <w:tcW w:type="dxa" w:w="105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Typical Size</w:t>
            </w:r>
          </w:p>
        </w:tc>
        <w:tc>
          <w:tcPr>
            <w:tcW w:type="dxa" w:w="1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Fee Pattern</w:t>
            </w:r>
          </w:p>
        </w:tc>
        <w:tc>
          <w:tcPr>
            <w:tcW w:type="dxa" w:w="105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Fee Base</w:t>
            </w:r>
          </w:p>
        </w:tc>
        <w:tc>
          <w:tcPr>
            <w:tcW w:type="dxa" w:w="11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Post-Investment Treatment</w:t>
            </w:r>
          </w:p>
        </w:tc>
        <w:tc>
          <w:tcPr>
            <w:tcW w:type="dxa" w:w="11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Geography / Strategy</w:t>
            </w:r>
          </w:p>
        </w:tc>
        <w:tc>
          <w:tcPr>
            <w:tcW w:type="dxa" w:w="2087"/>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 Interpretation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Micro / first-time emerging manager</w:t>
            </w:r>
          </w:p>
        </w:tc>
        <w:tc>
          <w:tcPr>
            <w:tcW w:type="dxa" w:w="1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$1M–$10M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Often 2% nominal; many need front-loaded 3%–4% early</w:t>
            </w:r>
          </w:p>
        </w:tc>
        <w:tc>
          <w:tcPr>
            <w:tcW w:type="dxa" w:w="1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Committed capital</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Step-down to 0.5%–1% or reduced schedule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Angel-to-fund transitions; operator-led funds</w:t>
            </w:r>
          </w:p>
        </w:tc>
        <w:tc>
          <w:tcPr>
            <w:tcW w:type="dxa" w:w="20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Fixed costs are hardest to absorb; platform viability is the central fee challenge</w:t>
            </w:r>
          </w:p>
        </w:tc>
      </w:tr>
      <w:tr>
        <w:tc>
          <w:tcPr>
            <w:tcW w:type="dxa" w:w="1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top"/>
          </w:tcPr>
          <w:p>
            <w:r>
              <w:rPr>
                <w:rFonts w:ascii="Arial" w:cs="Arial" w:eastAsia="Arial" w:hAnsi="Arial"/>
                <w:b/>
                <w:bCs/>
                <w:color w:val="000000"/>
                <w:sz w:val="18"/>
                <w:szCs w:val="18"/>
              </w:rPr>
              <w:t xml:space="preserve">Small emerging VC fund</w:t>
            </w:r>
          </w:p>
        </w:tc>
        <w:tc>
          <w:tcPr>
            <w:tcW w:type="dxa" w:w="105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Under $30M</w:t>
            </w:r>
          </w:p>
        </w:tc>
        <w:tc>
          <w:tcPr>
            <w:tcW w:type="dxa" w:w="1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2%–2.5% standard; front-loaded alternatives common</w:t>
            </w:r>
          </w:p>
        </w:tc>
        <w:tc>
          <w:tcPr>
            <w:tcW w:type="dxa" w:w="105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Committed capital</w:t>
            </w:r>
          </w:p>
        </w:tc>
        <w:tc>
          <w:tcPr>
            <w:tcW w:type="dxa" w:w="11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Step-down negotiated around runway needs</w:t>
            </w:r>
          </w:p>
        </w:tc>
        <w:tc>
          <w:tcPr>
            <w:tcW w:type="dxa" w:w="11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High concentration of HNWs, family offices</w:t>
            </w:r>
          </w:p>
        </w:tc>
        <w:tc>
          <w:tcPr>
            <w:tcW w:type="dxa" w:w="2087"/>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Fee design is often a solvency question, not just a pricing question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Illustrative emerging manager model</w:t>
            </w:r>
          </w:p>
        </w:tc>
        <w:tc>
          <w:tcPr>
            <w:tcW w:type="dxa" w:w="1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$5M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3% years 1–4; 2% years 5–6; 1% years 7–10</w:t>
            </w:r>
          </w:p>
        </w:tc>
        <w:tc>
          <w:tcPr>
            <w:tcW w:type="dxa" w:w="1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Committed capital</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Percentage declines over decade; averages ~2%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Designed for new managers proving strategy</w:t>
            </w:r>
          </w:p>
        </w:tc>
        <w:tc>
          <w:tcPr>
            <w:tcW w:type="dxa" w:w="20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Shows how a small fund can average ~2% while remaining operationally viable</w:t>
            </w:r>
          </w:p>
        </w:tc>
      </w:tr>
      <w:tr>
        <w:tc>
          <w:tcPr>
            <w:tcW w:type="dxa" w:w="1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top"/>
          </w:tcPr>
          <w:p>
            <w:r>
              <w:rPr>
                <w:rFonts w:ascii="Arial" w:cs="Arial" w:eastAsia="Arial" w:hAnsi="Arial"/>
                <w:b/>
                <w:bCs/>
                <w:color w:val="000000"/>
                <w:sz w:val="18"/>
                <w:szCs w:val="18"/>
              </w:rPr>
              <w:t xml:space="preserve">Mid-market VC fund</w:t>
            </w:r>
          </w:p>
        </w:tc>
        <w:tc>
          <w:tcPr>
            <w:tcW w:type="dxa" w:w="105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$30M–$100M</w:t>
            </w:r>
          </w:p>
        </w:tc>
        <w:tc>
          <w:tcPr>
            <w:tcW w:type="dxa" w:w="1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Usually ~2%</w:t>
            </w:r>
          </w:p>
        </w:tc>
        <w:tc>
          <w:tcPr>
            <w:tcW w:type="dxa" w:w="105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Committed capital</w:t>
            </w:r>
          </w:p>
        </w:tc>
        <w:tc>
          <w:tcPr>
            <w:tcW w:type="dxa" w:w="11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Often reduced rate and/or basis change after investment period</w:t>
            </w:r>
          </w:p>
        </w:tc>
        <w:tc>
          <w:tcPr>
            <w:tcW w:type="dxa" w:w="11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More institutional LP mix</w:t>
            </w:r>
          </w:p>
        </w:tc>
        <w:tc>
          <w:tcPr>
            <w:tcW w:type="dxa" w:w="2087"/>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Greater scale makes standard 2% more workable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Large established VC fund</w:t>
            </w:r>
          </w:p>
        </w:tc>
        <w:tc>
          <w:tcPr>
            <w:tcW w:type="dxa" w:w="1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$100M+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Median still ~2%</w:t>
            </w:r>
          </w:p>
        </w:tc>
        <w:tc>
          <w:tcPr>
            <w:tcW w:type="dxa" w:w="1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Committed capital</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Step-downs may apply; large funds have more flexibility</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Established brands, strong LP demand</w:t>
            </w:r>
          </w:p>
        </w:tc>
        <w:tc>
          <w:tcPr>
            <w:tcW w:type="dxa" w:w="20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Scale lowers expense burden; premium economics may appear more in carry than fee percentage</w:t>
            </w:r>
          </w:p>
        </w:tc>
      </w:tr>
      <w:tr>
        <w:tc>
          <w:tcPr>
            <w:tcW w:type="dxa" w:w="1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top"/>
          </w:tcPr>
          <w:p>
            <w:r>
              <w:rPr>
                <w:rFonts w:ascii="Arial" w:cs="Arial" w:eastAsia="Arial" w:hAnsi="Arial"/>
                <w:b/>
                <w:bCs/>
                <w:color w:val="000000"/>
                <w:sz w:val="18"/>
                <w:szCs w:val="18"/>
              </w:rPr>
              <w:t xml:space="preserve">European venture fund</w:t>
            </w:r>
          </w:p>
        </w:tc>
        <w:tc>
          <w:tcPr>
            <w:tcW w:type="dxa" w:w="105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Varies</w:t>
            </w:r>
          </w:p>
        </w:tc>
        <w:tc>
          <w:tcPr>
            <w:tcW w:type="dxa" w:w="1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Generally 2%–2.5%</w:t>
            </w:r>
          </w:p>
        </w:tc>
        <w:tc>
          <w:tcPr>
            <w:tcW w:type="dxa" w:w="105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Total commitments</w:t>
            </w:r>
          </w:p>
        </w:tc>
        <w:tc>
          <w:tcPr>
            <w:tcW w:type="dxa" w:w="11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Often still commitment-based; step-downs of 0.25–1.0 pp</w:t>
            </w:r>
          </w:p>
        </w:tc>
        <w:tc>
          <w:tcPr>
            <w:tcW w:type="dxa" w:w="11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Europe</w:t>
            </w:r>
          </w:p>
        </w:tc>
        <w:tc>
          <w:tcPr>
            <w:tcW w:type="dxa" w:w="2087"/>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European VC more often preserves commitment-based fees post-investment than PE does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000000"/>
                <w:sz w:val="18"/>
                <w:szCs w:val="18"/>
              </w:rPr>
              <w:t xml:space="preserve">Emerging-market VC / early-growth fund</w:t>
            </w:r>
          </w:p>
        </w:tc>
        <w:tc>
          <w:tcPr>
            <w:tcW w:type="dxa" w:w="1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Often under $100M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'2 and 20' often proposed; debate shifting toward budgeted predictability</w:t>
            </w:r>
          </w:p>
        </w:tc>
        <w:tc>
          <w:tcPr>
            <w:tcW w:type="dxa" w:w="1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Committed capital initially</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Sharp basis switch creates harmful fee cliff; smoother budgets preferred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Africa, LatAm, South and Southeast Asia</w:t>
            </w:r>
          </w:p>
        </w:tc>
        <w:tc>
          <w:tcPr>
            <w:tcW w:type="dxa" w:w="20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Predictable year-by-year fee budgets may better align incentives than abrupt step-downs</w:t>
            </w:r>
          </w:p>
        </w:tc>
      </w:tr>
      <w:tr>
        <w:tc>
          <w:tcPr>
            <w:tcW w:type="dxa" w:w="1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top"/>
          </w:tcPr>
          <w:p>
            <w:r>
              <w:rPr>
                <w:rFonts w:ascii="Arial" w:cs="Arial" w:eastAsia="Arial" w:hAnsi="Arial"/>
                <w:b/>
                <w:bCs/>
                <w:color w:val="000000"/>
                <w:sz w:val="18"/>
                <w:szCs w:val="18"/>
              </w:rPr>
              <w:t xml:space="preserve">Specialized sector fund (e.g., biotech, health)</w:t>
            </w:r>
          </w:p>
        </w:tc>
        <w:tc>
          <w:tcPr>
            <w:tcW w:type="dxa" w:w="105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Varies</w:t>
            </w:r>
          </w:p>
        </w:tc>
        <w:tc>
          <w:tcPr>
            <w:tcW w:type="dxa" w:w="1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Usually within standard range; stronger justification for upper-end or stable fees</w:t>
            </w:r>
          </w:p>
        </w:tc>
        <w:tc>
          <w:tcPr>
            <w:tcW w:type="dxa" w:w="105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Committed capital</w:t>
            </w:r>
          </w:p>
        </w:tc>
        <w:tc>
          <w:tcPr>
            <w:tcW w:type="dxa" w:w="11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Depends on reserve strategy and operating model</w:t>
            </w:r>
          </w:p>
        </w:tc>
        <w:tc>
          <w:tcPr>
            <w:tcW w:type="dxa" w:w="11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Sector specialization</w:t>
            </w:r>
          </w:p>
        </w:tc>
        <w:tc>
          <w:tcPr>
            <w:tcW w:type="dxa" w:w="2087"/>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Heavier diligence and support needs justify more robust fee design</w:t>
            </w:r>
          </w:p>
        </w:tc>
      </w:tr>
    </w:tbl>
    <w:p>
      <w:pPr>
        <w:spacing w:before="0" w:after="200"/>
      </w:pPr>
    </w:p>
    <w:p>
      <w:pPr>
        <w:pStyle w:val="Heading1"/>
        <w:spacing w:before="360" w:after="120"/>
      </w:pPr>
      <w:r>
        <w:rPr>
          <w:rFonts w:ascii="Arial" w:cs="Arial" w:eastAsia="Arial" w:hAnsi="Arial"/>
          <w:b/>
          <w:bCs/>
          <w:color w:val="1B2A4A"/>
          <w:sz w:val="28"/>
          <w:szCs w:val="28"/>
        </w:rPr>
        <w:t xml:space="preserve">6.  Discussion</w:t>
      </w:r>
    </w:p>
    <w:p>
      <w:pPr>
        <w:pStyle w:val="Heading2"/>
        <w:spacing w:before="240" w:after="80"/>
      </w:pPr>
      <w:r>
        <w:rPr>
          <w:rFonts w:ascii="Arial" w:cs="Arial" w:eastAsia="Arial" w:hAnsi="Arial"/>
          <w:b/>
          <w:bCs/>
          <w:color w:val="2D3E5C"/>
          <w:sz w:val="24"/>
          <w:szCs w:val="24"/>
        </w:rPr>
        <w:t xml:space="preserve">6.1  The paradox of small-fund economics</w:t>
      </w:r>
    </w:p>
    <w:p>
      <w:pPr>
        <w:spacing w:before="0" w:after="160"/>
        <w:ind w:firstLine="720"/>
        <w:jc w:val="both"/>
      </w:pPr>
      <w:r>
        <w:rPr>
          <w:rFonts w:ascii="Arial" w:cs="Arial" w:eastAsia="Arial" w:hAnsi="Arial"/>
          <w:color w:val="000000"/>
          <w:sz w:val="22"/>
          <w:szCs w:val="22"/>
        </w:rPr>
        <w:t xml:space="preserve">The comparison reveals a paradox: LPs often resist higher fee percentages in small funds because those fees consume more of the investable pool, yet small funds are precisely the vehicles least able to survive on the nominal 2% benchmark. This is visible in Carta's operating-expense data, where the smallest funds bear far higher operating burdens as a percentage of total fund size. A 2% fee on a €5 million fund produces only €100,000 per year, which is generally insufficient for a serious cross-border venture platform unless the GP self-subsidizes, works part-time, or receives external support. That is why front-loaded or budget-based fee models repeatedly appear in emerging-manager practice.</w:t>
      </w:r>
      <w:r>
        <w:rPr>
          <w:rStyle w:val="FootnoteReference"/>
        </w:rPr>
        <w:footnoteReference w:id="6"/>
      </w:r>
      <w:r>
        <w:rPr>
          <w:rStyle w:val="FootnoteReference"/>
        </w:rPr>
        <w:footnoteReference w:id="15"/>
      </w:r>
    </w:p>
    <w:p>
      <w:pPr>
        <w:pStyle w:val="Heading2"/>
        <w:spacing w:before="240" w:after="80"/>
      </w:pPr>
      <w:r>
        <w:rPr>
          <w:rFonts w:ascii="Arial" w:cs="Arial" w:eastAsia="Arial" w:hAnsi="Arial"/>
          <w:b/>
          <w:bCs/>
          <w:color w:val="2D3E5C"/>
          <w:sz w:val="24"/>
          <w:szCs w:val="24"/>
        </w:rPr>
        <w:t xml:space="preserve">6.2  Why VC often resists private equity–style fee step-downs</w:t>
      </w:r>
    </w:p>
    <w:p>
      <w:pPr>
        <w:spacing w:before="0" w:after="160"/>
        <w:ind w:firstLine="720"/>
        <w:jc w:val="both"/>
      </w:pPr>
      <w:r>
        <w:rPr>
          <w:rFonts w:ascii="Arial" w:cs="Arial" w:eastAsia="Arial" w:hAnsi="Arial"/>
          <w:color w:val="000000"/>
          <w:sz w:val="22"/>
          <w:szCs w:val="22"/>
        </w:rPr>
        <w:t xml:space="preserve">Venture capital differs from leveraged buyout in a way that matters directly for fee accounting. Venture funds preserve reserves, follow portfolio companies over long cycles, and often need active support years after the initial check is written. If post-investment-period fees are tied strictly to net invested capital, managers may face a budget collapse before the real work has diminished. Capria argues that this can create perverse incentives, including rushed deployment, delayed write-downs, and premature successor-fund fundraising. Proskauer's European data supports the same logic indirectly by showing that venture funds often maintain the fee base on commitments even after the investment period.</w:t>
      </w:r>
      <w:r>
        <w:rPr>
          <w:rStyle w:val="FootnoteReference"/>
        </w:rPr>
        <w:footnoteReference w:id="11"/>
      </w:r>
      <w:r>
        <w:rPr>
          <w:rStyle w:val="FootnoteReference"/>
        </w:rPr>
        <w:footnoteReference w:id="3"/>
      </w:r>
    </w:p>
    <w:p>
      <w:pPr>
        <w:pStyle w:val="Heading2"/>
        <w:spacing w:before="240" w:after="80"/>
      </w:pPr>
      <w:r>
        <w:rPr>
          <w:rFonts w:ascii="Arial" w:cs="Arial" w:eastAsia="Arial" w:hAnsi="Arial"/>
          <w:b/>
          <w:bCs/>
          <w:color w:val="2D3E5C"/>
          <w:sz w:val="24"/>
          <w:szCs w:val="24"/>
        </w:rPr>
        <w:t xml:space="preserve">6.3  Industry focus does not override size; it modifies it</w:t>
      </w:r>
    </w:p>
    <w:p>
      <w:pPr>
        <w:spacing w:before="0" w:after="160"/>
        <w:ind w:firstLine="720"/>
        <w:jc w:val="both"/>
      </w:pPr>
      <w:r>
        <w:rPr>
          <w:rFonts w:ascii="Arial" w:cs="Arial" w:eastAsia="Arial" w:hAnsi="Arial"/>
          <w:color w:val="000000"/>
          <w:sz w:val="22"/>
          <w:szCs w:val="22"/>
        </w:rPr>
        <w:t xml:space="preserve">Sector focus matters, but not as much as fund size in observable fee practice. A small biotech fund and a small SaaS fund may both start near the same fee benchmark, but the biotech fund has a stronger case for a more stable or front-loaded fee budget because of specialist diligence requirements, regulatory complexity, and longer company development arcs. In other words, industry focus is best understood as an intensifier of the small-fund problem, not a fully separate pricing regime. That is especially relevant for Anker, whose thesis spans B2B SaaS, HealthTech, and Biotech.</w:t>
      </w:r>
      <w:r>
        <w:rPr>
          <w:rStyle w:val="FootnoteReference"/>
        </w:rPr>
        <w:footnoteReference w:id="12"/>
      </w:r>
      <w:r>
        <w:rPr>
          <w:rStyle w:val="FootnoteReference"/>
        </w:rPr>
        <w:footnoteReference w:id="16"/>
      </w:r>
    </w:p>
    <w:p>
      <w:pPr>
        <w:pStyle w:val="Heading1"/>
        <w:spacing w:before="360" w:after="120"/>
      </w:pPr>
      <w:r>
        <w:rPr>
          <w:rFonts w:ascii="Arial" w:cs="Arial" w:eastAsia="Arial" w:hAnsi="Arial"/>
          <w:b/>
          <w:bCs/>
          <w:color w:val="1B2A4A"/>
          <w:sz w:val="28"/>
          <w:szCs w:val="28"/>
        </w:rPr>
        <w:t xml:space="preserve">7.  Implications for Anker Fund</w:t>
      </w:r>
    </w:p>
    <w:p>
      <w:pPr>
        <w:spacing w:before="0" w:after="160"/>
        <w:ind w:firstLine="720"/>
        <w:jc w:val="both"/>
      </w:pPr>
      <w:r>
        <w:rPr>
          <w:rFonts w:ascii="Arial" w:cs="Arial" w:eastAsia="Arial" w:hAnsi="Arial"/>
          <w:color w:val="000000"/>
          <w:sz w:val="22"/>
          <w:szCs w:val="22"/>
        </w:rPr>
        <w:t xml:space="preserve">For Anker Fund, the literature implies that a plain 2% flat annual fee on a €5 million vehicle may be elegant in appearance but fragile in operation. Anker's cross-continental model is unusually hands-on: it spans Berlin and East Africa, targets pre-seed/seed companies, and focuses partly on regulated or specialized sectors such as HealthTech and Biotech. The fund is therefore likely to have above-average needs in sourcing, travel, diligence, ecosystem participation, and founder support relative to its asset base. A small-fund operating model with no early-period fee enhancement risks undercapitalizing the management company and, by extension, weakening execution of the investment thesis itself.</w:t>
      </w:r>
      <w:r>
        <w:rPr>
          <w:rStyle w:val="FootnoteReference"/>
        </w:rPr>
        <w:footnoteReference w:id="16"/>
      </w:r>
      <w:r>
        <w:rPr>
          <w:rStyle w:val="FootnoteReference"/>
        </w:rPr>
        <w:footnoteReference w:id="6"/>
      </w:r>
    </w:p>
    <w:p>
      <w:pPr>
        <w:spacing w:before="0" w:after="160"/>
        <w:ind w:firstLine="720"/>
        <w:jc w:val="both"/>
      </w:pPr>
      <w:r>
        <w:rPr>
          <w:rFonts w:ascii="Arial" w:cs="Arial" w:eastAsia="Arial" w:hAnsi="Arial"/>
          <w:color w:val="000000"/>
          <w:sz w:val="22"/>
          <w:szCs w:val="22"/>
        </w:rPr>
        <w:t xml:space="preserve">The evidence suggests three defensible design paths. The first is a standard 2%–2.5% structure if the GP has meaningful external support or low fixed overhead. The second is a front-loaded model—for example, higher fees during the first two to four years followed by lower tail fees—which is consistent with both Sydecar's and GoVCLab's documented practitioner norms. The third is a predictable year-by-year budget model, closer to Capria's emerging-market recommendation, which may be particularly suitable for Anker because the fund's geography and sector mix make operating demands uneven but persistent. In academic terms, the most defensible conclusion is that Anker should optimize for budget credibility and LP alignment, not for visual conformity to a simplistic 2-and-20 label.</w:t>
      </w:r>
      <w:r>
        <w:rPr>
          <w:rStyle w:val="FootnoteReference"/>
        </w:rPr>
        <w:footnoteReference w:id="4"/>
      </w:r>
      <w:r>
        <w:rPr>
          <w:rStyle w:val="FootnoteReference"/>
        </w:rPr>
        <w:footnoteReference w:id="7"/>
      </w:r>
      <w:r>
        <w:rPr>
          <w:rStyle w:val="FootnoteReference"/>
        </w:rPr>
        <w:footnoteReference w:id="5"/>
      </w:r>
    </w:p>
    <w:p>
      <w:pPr>
        <w:pStyle w:val="Heading1"/>
        <w:spacing w:before="360" w:after="120"/>
      </w:pPr>
      <w:r>
        <w:rPr>
          <w:rFonts w:ascii="Arial" w:cs="Arial" w:eastAsia="Arial" w:hAnsi="Arial"/>
          <w:b/>
          <w:bCs/>
          <w:color w:val="1B2A4A"/>
          <w:sz w:val="28"/>
          <w:szCs w:val="28"/>
        </w:rPr>
        <w:t xml:space="preserve">8.  Conclusion</w:t>
      </w:r>
    </w:p>
    <w:p>
      <w:pPr>
        <w:spacing w:before="0" w:after="160"/>
        <w:ind w:firstLine="720"/>
        <w:jc w:val="both"/>
      </w:pPr>
      <w:r>
        <w:rPr>
          <w:rFonts w:ascii="Arial" w:cs="Arial" w:eastAsia="Arial" w:hAnsi="Arial"/>
          <w:color w:val="000000"/>
          <w:sz w:val="22"/>
          <w:szCs w:val="22"/>
        </w:rPr>
        <w:t xml:space="preserve">This study finds that venture capital management fees are best understood not as a single industry standard but as a family of related contractual solutions built around one central problem: how to fund a management company sufficiently to execute the venture strategy without overcharging LPs or distorting incentives. The benchmark remains 2 and 20, but the strongest actual determinant of variation is fund size, with geography and strategy modifying the structure around that core variable. Small and emerging funds are the most likely to require front-loaded or budget-based fee schedules, because fixed operating costs are least scalable at their size. Larger funds can maintain standard headline fees while enjoying far greater operating leverage.</w:t>
      </w:r>
      <w:r>
        <w:rPr>
          <w:rStyle w:val="FootnoteReference"/>
        </w:rPr>
        <w:footnoteReference w:id="1"/>
      </w:r>
      <w:r>
        <w:rPr>
          <w:rStyle w:val="FootnoteReference"/>
        </w:rPr>
        <w:footnoteReference w:id="17"/>
      </w:r>
    </w:p>
    <w:p>
      <w:pPr>
        <w:spacing w:before="0" w:after="160"/>
        <w:ind w:firstLine="720"/>
        <w:jc w:val="both"/>
      </w:pPr>
      <w:r>
        <w:rPr>
          <w:rFonts w:ascii="Arial" w:cs="Arial" w:eastAsia="Arial" w:hAnsi="Arial"/>
          <w:color w:val="000000"/>
          <w:sz w:val="22"/>
          <w:szCs w:val="22"/>
        </w:rPr>
        <w:t xml:space="preserve">For Anker Fund, the implication is clear: management fee policy should be treated as part of fund strategy, not merely an administrative term. A credible fee architecture must reflect the real operating costs of a €5 million, Europe–East Africa, pre-seed/seed, partly HealthTech/Biotech platform. The most academically supportable recommendation is therefore not a universal percentage, but a structure that combines predictability, transparency, and operational sufficiency. In venture capital, especially at micro-fund scale, sound accounting design is strategic design.</w:t>
      </w:r>
      <w:r>
        <w:rPr>
          <w:rStyle w:val="FootnoteReference"/>
        </w:rPr>
        <w:footnoteReference w:id="16"/>
      </w:r>
      <w:r>
        <w:rPr>
          <w:rStyle w:val="FootnoteReference"/>
        </w:rPr>
        <w:footnoteReference w:id="5"/>
      </w:r>
    </w:p>
    <w:p>
      <w:r>
        <w:br w:type="page"/>
      </w:r>
    </w:p>
    <w:p>
      <w:pPr>
        <w:pStyle w:val="Heading1"/>
        <w:spacing w:before="360" w:after="120"/>
      </w:pPr>
      <w:r>
        <w:rPr>
          <w:rFonts w:ascii="Arial" w:cs="Arial" w:eastAsia="Arial" w:hAnsi="Arial"/>
          <w:b/>
          <w:bCs/>
          <w:color w:val="1B2A4A"/>
          <w:sz w:val="28"/>
          <w:szCs w:val="28"/>
        </w:rPr>
        <w:t xml:space="preserve">References</w:t>
      </w:r>
    </w:p>
    <w:p>
      <w:pPr>
        <w:spacing w:before="0" w:after="60"/>
      </w:pPr>
    </w:p>
    <w:p>
      <w:pPr>
        <w:spacing w:before="0" w:after="120"/>
        <w:jc w:val="both"/>
      </w:pPr>
      <w:r>
        <w:rPr>
          <w:rFonts w:ascii="Arial" w:cs="Arial" w:eastAsia="Arial" w:hAnsi="Arial"/>
          <w:color w:val="000000"/>
          <w:sz w:val="22"/>
          <w:szCs w:val="22"/>
        </w:rPr>
        <w:t xml:space="preserve">Anker Fund. Investment Thesis Document. Berlin, 2024.</w:t>
      </w:r>
    </w:p>
    <w:p>
      <w:pPr>
        <w:spacing w:before="0" w:after="120"/>
        <w:jc w:val="both"/>
      </w:pPr>
      <w:r>
        <w:rPr>
          <w:rFonts w:ascii="Arial" w:cs="Arial" w:eastAsia="Arial" w:hAnsi="Arial"/>
          <w:color w:val="000000"/>
          <w:sz w:val="22"/>
          <w:szCs w:val="22"/>
        </w:rPr>
        <w:t xml:space="preserve">Capria. 'Why Management Fee for Emerging-Market VC Funds Should Be Predictable.' Capria White Paper, 2022.</w:t>
      </w:r>
    </w:p>
    <w:p>
      <w:pPr>
        <w:spacing w:before="0" w:after="120"/>
        <w:jc w:val="both"/>
      </w:pPr>
      <w:r>
        <w:rPr>
          <w:rFonts w:ascii="Arial" w:cs="Arial" w:eastAsia="Arial" w:hAnsi="Arial"/>
          <w:color w:val="000000"/>
          <w:sz w:val="22"/>
          <w:szCs w:val="22"/>
        </w:rPr>
        <w:t xml:space="preserve">Carta. 'Fund Economics: Small Funds vs. Large Funds.' Carta Research, 2023.</w:t>
      </w:r>
    </w:p>
    <w:p>
      <w:pPr>
        <w:spacing w:before="0" w:after="120"/>
        <w:jc w:val="both"/>
      </w:pPr>
      <w:r>
        <w:rPr>
          <w:rFonts w:ascii="Arial" w:cs="Arial" w:eastAsia="Arial" w:hAnsi="Arial"/>
          <w:color w:val="000000"/>
          <w:sz w:val="22"/>
          <w:szCs w:val="22"/>
        </w:rPr>
        <w:t xml:space="preserve">Carta. 'Management Fees: A Guide to Fee Structures in Private Funds.' Carta Research, 2023.</w:t>
      </w:r>
    </w:p>
    <w:p>
      <w:pPr>
        <w:spacing w:before="0" w:after="120"/>
        <w:jc w:val="both"/>
      </w:pPr>
      <w:r>
        <w:rPr>
          <w:rFonts w:ascii="Arial" w:cs="Arial" w:eastAsia="Arial" w:hAnsi="Arial"/>
          <w:color w:val="000000"/>
          <w:sz w:val="22"/>
          <w:szCs w:val="22"/>
        </w:rPr>
        <w:t xml:space="preserve">GoVCLab. 'Managing Fund Expenses for Venture Capitalists.' GoVCLab, 2023.</w:t>
      </w:r>
    </w:p>
    <w:p>
      <w:pPr>
        <w:spacing w:before="0" w:after="120"/>
        <w:jc w:val="both"/>
      </w:pPr>
      <w:r>
        <w:rPr>
          <w:rFonts w:ascii="Arial" w:cs="Arial" w:eastAsia="Arial" w:hAnsi="Arial"/>
          <w:color w:val="000000"/>
          <w:sz w:val="22"/>
          <w:szCs w:val="22"/>
        </w:rPr>
        <w:t xml:space="preserve">GoVCLab. 'VC Management Fees.' GoVCLab, 2023.</w:t>
      </w:r>
    </w:p>
    <w:p>
      <w:pPr>
        <w:spacing w:before="0" w:after="120"/>
        <w:jc w:val="both"/>
      </w:pPr>
      <w:r>
        <w:rPr>
          <w:rFonts w:ascii="Arial" w:cs="Arial" w:eastAsia="Arial" w:hAnsi="Arial"/>
          <w:color w:val="000000"/>
          <w:sz w:val="22"/>
          <w:szCs w:val="22"/>
        </w:rPr>
        <w:t xml:space="preserve">GoVCLab. 'Venture Capital Management Fee Model.' GoVCLab, 2023.</w:t>
      </w:r>
    </w:p>
    <w:p>
      <w:pPr>
        <w:spacing w:before="0" w:after="120"/>
        <w:jc w:val="both"/>
      </w:pPr>
      <w:r>
        <w:rPr>
          <w:rFonts w:ascii="Arial" w:cs="Arial" w:eastAsia="Arial" w:hAnsi="Arial"/>
          <w:color w:val="000000"/>
          <w:sz w:val="22"/>
          <w:szCs w:val="22"/>
        </w:rPr>
        <w:t xml:space="preserve">Kruze Consulting. 'The Two and Twenty VC Fee Structure Explained.' Kruze Consulting, 2023.</w:t>
      </w:r>
    </w:p>
    <w:p>
      <w:pPr>
        <w:spacing w:before="0" w:after="120"/>
        <w:jc w:val="both"/>
      </w:pPr>
      <w:r>
        <w:rPr>
          <w:rFonts w:ascii="Arial" w:cs="Arial" w:eastAsia="Arial" w:hAnsi="Arial"/>
          <w:color w:val="000000"/>
          <w:sz w:val="22"/>
          <w:szCs w:val="22"/>
        </w:rPr>
        <w:t xml:space="preserve">Litvak, Kate. 'Venture Capital Limited Partnership Agreements: Understanding Compensation Arrangements.' University of Chicago Law Review 76, no. 1 (2009): 161–218.</w:t>
      </w:r>
    </w:p>
    <w:p>
      <w:pPr>
        <w:spacing w:before="0" w:after="120"/>
        <w:jc w:val="both"/>
      </w:pPr>
      <w:r>
        <w:rPr>
          <w:rFonts w:ascii="Arial" w:cs="Arial" w:eastAsia="Arial" w:hAnsi="Arial"/>
          <w:color w:val="000000"/>
          <w:sz w:val="22"/>
          <w:szCs w:val="22"/>
        </w:rPr>
        <w:t xml:space="preserve">Metrick, Andrew, and Ayako Yasuda. 'The Economics of Private Equity Funds.' Review of Financial Studies 23, no. 6 (2010): 2303–2341.</w:t>
      </w:r>
    </w:p>
    <w:p>
      <w:pPr>
        <w:spacing w:before="0" w:after="120"/>
        <w:jc w:val="both"/>
      </w:pPr>
      <w:r>
        <w:rPr>
          <w:rFonts w:ascii="Arial" w:cs="Arial" w:eastAsia="Arial" w:hAnsi="Arial"/>
          <w:color w:val="000000"/>
          <w:sz w:val="22"/>
          <w:szCs w:val="22"/>
        </w:rPr>
        <w:t xml:space="preserve">Metrick, Andrew, and Ayako Yasuda. 'Venture Capital and Other Private Equity: A Survey.' European Financial Management 17, no. 4 (2011): 619–654.</w:t>
      </w:r>
    </w:p>
    <w:p>
      <w:pPr>
        <w:spacing w:before="0" w:after="120"/>
        <w:jc w:val="both"/>
      </w:pPr>
      <w:r>
        <w:rPr>
          <w:rFonts w:ascii="Arial" w:cs="Arial" w:eastAsia="Arial" w:hAnsi="Arial"/>
          <w:color w:val="000000"/>
          <w:sz w:val="22"/>
          <w:szCs w:val="22"/>
        </w:rPr>
        <w:t xml:space="preserve">Proskauer Rose LLP. 'Fundraising Terms and Trends in European Venture Capital Funds.' Proskauer, 2022.</w:t>
      </w:r>
    </w:p>
    <w:p>
      <w:pPr>
        <w:spacing w:before="0" w:after="120"/>
        <w:jc w:val="both"/>
      </w:pPr>
      <w:r>
        <w:rPr>
          <w:rFonts w:ascii="Arial" w:cs="Arial" w:eastAsia="Arial" w:hAnsi="Arial"/>
          <w:color w:val="000000"/>
          <w:sz w:val="22"/>
          <w:szCs w:val="22"/>
        </w:rPr>
        <w:t xml:space="preserve">Sydecar. 'Industry Standard Terms for Emerging Fund Managers.' Sydecar, 2023.</w:t>
      </w:r>
    </w:p>
    <w:p>
      <w:pPr>
        <w:spacing w:before="0" w:after="120"/>
        <w:jc w:val="both"/>
      </w:pPr>
      <w:r>
        <w:rPr>
          <w:rFonts w:ascii="Arial" w:cs="Arial" w:eastAsia="Arial" w:hAnsi="Arial"/>
          <w:color w:val="000000"/>
          <w:sz w:val="22"/>
          <w:szCs w:val="22"/>
        </w:rPr>
        <w:t xml:space="preserve">VentureSouth. 'Venture Capital Management Fees: The Evidence.' VentureSouth, 2022.</w:t>
      </w:r>
    </w:p>
    <w:sectPr>
      <w:headerReference w:type="default" r:id="rId6"/>
      <w:footerReference w:type="default" r:id="rId7"/>
      <w:pgSz w:w="11906" w:h="16838" w:orient="portrait"/>
      <w:pgMar w:top="1418" w:right="1418"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4" w:space="1"/>
      </w:pBdr>
      <w:tabs>
        <w:tab w:val="right" w:pos="9026"/>
      </w:tabs>
      <w:spacing w:before="120"/>
    </w:pPr>
    <w:r>
      <w:rPr>
        <w:rFonts w:ascii="Arial" w:cs="Arial" w:eastAsia="Arial" w:hAnsi="Arial"/>
        <w:color w:val="4A5568"/>
        <w:sz w:val="18"/>
        <w:szCs w:val="18"/>
      </w:rPr>
      <w:t xml:space="preserve">Prepared for Anker Fund  |  Confidential</w:t>
    </w:r>
    <w:r>
      <w:rPr>
        <w:rFonts w:ascii="Arial" w:cs="Arial" w:eastAsia="Arial" w:hAnsi="Arial"/>
        <w:sz w:val="18"/>
        <w:szCs w:val="18"/>
      </w:rPr>
      <w:t xml:space="preserve">	</w:t>
    </w:r>
    <w:r>
      <w:rPr>
        <w:rFonts w:ascii="Arial" w:cs="Arial" w:eastAsia="Arial" w:hAnsi="Arial"/>
        <w:color w:val="4A556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Arial" w:cs="Arial" w:eastAsia="Arial" w:hAnsi="Arial"/>
          <w:color w:val="000000"/>
          <w:sz w:val="18"/>
          <w:szCs w:val="18"/>
        </w:rPr>
        <w:t xml:space="preserve">Andrew Metrick and Ayako Yasuda, 'The Economics of Private Equity Funds,' Review of Financial Studies 23, no. 6 (2010): 2303–2341. The study examines a dataset of 238 private equity funds and is foundational for empirical analysis of management fee structures.</w:t>
      </w:r>
    </w:p>
  </w:footnote>
  <w:footnote w:id="2">
    <w:p>
      <w:r>
        <w:rPr>
          <w:rStyle w:val="FootnoteReference"/>
        </w:rPr>
        <w:footnoteRef/>
      </w:r>
      <w:r>
        <w:rPr>
          <w:rFonts w:ascii="Arial" w:cs="Arial" w:eastAsia="Arial" w:hAnsi="Arial"/>
          <w:color w:val="000000"/>
          <w:sz w:val="18"/>
          <w:szCs w:val="18"/>
        </w:rPr>
        <w:t xml:space="preserve">Kate Litvak, 'Venture Capital Limited Partnership Agreements: Understanding Compensation Arrangements,' University of Chicago Law Review 76, no. 1 (2009): 161–218. Litvak's contract-level analysis remains the primary legal-empirical study of venture LPA terms.</w:t>
      </w:r>
    </w:p>
  </w:footnote>
  <w:footnote w:id="3">
    <w:p>
      <w:r>
        <w:rPr>
          <w:rStyle w:val="FootnoteReference"/>
        </w:rPr>
        <w:footnoteRef/>
      </w:r>
      <w:r>
        <w:rPr>
          <w:rFonts w:ascii="Arial" w:cs="Arial" w:eastAsia="Arial" w:hAnsi="Arial"/>
          <w:color w:val="000000"/>
          <w:sz w:val="18"/>
          <w:szCs w:val="18"/>
        </w:rPr>
        <w:t xml:space="preserve">Proskauer Rose LLP, 'Fundraising Terms and Trends in European Venture Capital Funds' (2022). Proskauer's survey provides the most systematic available data on European VC fund terms and is drawn upon throughout Sections 4.4 and 6.</w:t>
      </w:r>
    </w:p>
  </w:footnote>
  <w:footnote w:id="4">
    <w:p>
      <w:r>
        <w:rPr>
          <w:rStyle w:val="FootnoteReference"/>
        </w:rPr>
        <w:footnoteRef/>
      </w:r>
      <w:r>
        <w:rPr>
          <w:rFonts w:ascii="Arial" w:cs="Arial" w:eastAsia="Arial" w:hAnsi="Arial"/>
          <w:color w:val="000000"/>
          <w:sz w:val="18"/>
          <w:szCs w:val="18"/>
        </w:rPr>
        <w:t xml:space="preserve">Sydecar, 'Industry Standard Terms for Emerging Fund Managers' (2023). Sydecar's practitioner guide reflects current market norms for managers raising sub-$30 million vehicles.</w:t>
      </w:r>
    </w:p>
  </w:footnote>
  <w:footnote w:id="5">
    <w:p>
      <w:r>
        <w:rPr>
          <w:rStyle w:val="FootnoteReference"/>
        </w:rPr>
        <w:footnoteRef/>
      </w:r>
      <w:r>
        <w:rPr>
          <w:rFonts w:ascii="Arial" w:cs="Arial" w:eastAsia="Arial" w:hAnsi="Arial"/>
          <w:color w:val="000000"/>
          <w:sz w:val="18"/>
          <w:szCs w:val="18"/>
        </w:rPr>
        <w:t xml:space="preserve">Capria, 'Why Management Fee for Emerging-Market VC Funds Should Be Predictable' (2022). This practitioner white paper is the primary source on emerging-market fee design in Section 4.4.</w:t>
      </w:r>
    </w:p>
  </w:footnote>
  <w:footnote w:id="6">
    <w:p>
      <w:r>
        <w:rPr>
          <w:rStyle w:val="FootnoteReference"/>
        </w:rPr>
        <w:footnoteRef/>
      </w:r>
      <w:r>
        <w:rPr>
          <w:rFonts w:ascii="Arial" w:cs="Arial" w:eastAsia="Arial" w:hAnsi="Arial"/>
          <w:color w:val="000000"/>
          <w:sz w:val="18"/>
          <w:szCs w:val="18"/>
        </w:rPr>
        <w:t xml:space="preserve">Carta, 'Fund Economics: Small Funds vs. Large Funds' (2023). Carta's analysis of operating-expense burdens across fund sizes provides the quantitative backbone for the small-fund paradox discussed in Section 6.1.</w:t>
      </w:r>
    </w:p>
  </w:footnote>
  <w:footnote w:id="7">
    <w:p>
      <w:r>
        <w:rPr>
          <w:rStyle w:val="FootnoteReference"/>
        </w:rPr>
        <w:footnoteRef/>
      </w:r>
      <w:r>
        <w:rPr>
          <w:rFonts w:ascii="Arial" w:cs="Arial" w:eastAsia="Arial" w:hAnsi="Arial"/>
          <w:color w:val="000000"/>
          <w:sz w:val="18"/>
          <w:szCs w:val="18"/>
        </w:rPr>
        <w:t xml:space="preserve">GoVCLab, 'VC Management Fees' and 'Venture Capital Management Fee Model' (2023). GoVCLab's practitioner resources provide the illustrative $5 million fund model referenced in Sections 4.2 and 5.</w:t>
      </w:r>
    </w:p>
  </w:footnote>
  <w:footnote w:id="8">
    <w:p>
      <w:r>
        <w:rPr>
          <w:rStyle w:val="FootnoteReference"/>
        </w:rPr>
        <w:footnoteRef/>
      </w:r>
      <w:r>
        <w:rPr>
          <w:rFonts w:ascii="Arial" w:cs="Arial" w:eastAsia="Arial" w:hAnsi="Arial"/>
          <w:color w:val="000000"/>
          <w:sz w:val="18"/>
          <w:szCs w:val="18"/>
        </w:rPr>
        <w:t xml:space="preserve">Metrick and Yasuda, 'The Economics of Private Equity Funds,' 2310. The 42.6% figure for VC funds switching to invested-capital basis contrasts with 84.0% for buyout funds, underscoring the structural difference between asset classes.</w:t>
      </w:r>
    </w:p>
  </w:footnote>
  <w:footnote w:id="9">
    <w:p>
      <w:r>
        <w:rPr>
          <w:rStyle w:val="FootnoteReference"/>
        </w:rPr>
        <w:footnoteRef/>
      </w:r>
      <w:r>
        <w:rPr>
          <w:rFonts w:ascii="Arial" w:cs="Arial" w:eastAsia="Arial" w:hAnsi="Arial"/>
          <w:color w:val="000000"/>
          <w:sz w:val="18"/>
          <w:szCs w:val="18"/>
        </w:rPr>
        <w:t xml:space="preserve">Kruze Consulting, 'The Two and Twenty VC Fee Structure Explained' (2023). Kruze provides practitioner documentation of the 25-basis-point annual step-down pattern common in the industry.</w:t>
      </w:r>
    </w:p>
  </w:footnote>
  <w:footnote w:id="10">
    <w:p>
      <w:r>
        <w:rPr>
          <w:rStyle w:val="FootnoteReference"/>
        </w:rPr>
        <w:footnoteRef/>
      </w:r>
      <w:r>
        <w:rPr>
          <w:rFonts w:ascii="Arial" w:cs="Arial" w:eastAsia="Arial" w:hAnsi="Arial"/>
          <w:color w:val="000000"/>
          <w:sz w:val="18"/>
          <w:szCs w:val="18"/>
        </w:rPr>
        <w:t xml:space="preserve">Carta, 'Management Fees: A Guide to Fee Structures in Private Funds' (2023). The median 2% and 20% figures are drawn from Carta's pooled dataset.</w:t>
      </w:r>
    </w:p>
  </w:footnote>
  <w:footnote w:id="11">
    <w:p>
      <w:r>
        <w:rPr>
          <w:rStyle w:val="FootnoteReference"/>
        </w:rPr>
        <w:footnoteRef/>
      </w:r>
      <w:r>
        <w:rPr>
          <w:rFonts w:ascii="Arial" w:cs="Arial" w:eastAsia="Arial" w:hAnsi="Arial"/>
          <w:color w:val="000000"/>
          <w:sz w:val="18"/>
          <w:szCs w:val="18"/>
        </w:rPr>
        <w:t xml:space="preserve">Capria (2022), section 3. The argument about perverse incentives from abrupt post-investment-period fee cliffs—including rushed deployment and premature successor-fund fundraising—is developed in full in this source.</w:t>
      </w:r>
    </w:p>
  </w:footnote>
  <w:footnote w:id="12">
    <w:p>
      <w:r>
        <w:rPr>
          <w:rStyle w:val="FootnoteReference"/>
        </w:rPr>
        <w:footnoteRef/>
      </w:r>
      <w:r>
        <w:rPr>
          <w:rFonts w:ascii="Arial" w:cs="Arial" w:eastAsia="Arial" w:hAnsi="Arial"/>
          <w:color w:val="000000"/>
          <w:sz w:val="18"/>
          <w:szCs w:val="18"/>
        </w:rPr>
        <w:t xml:space="preserve">GoVCLab, 'Managing Fund Expenses for Venture Capitalists' (2023). This source addresses the relationship between investment strategy, stage, and operating intensity, supporting the indirect relationship between industry specialization and fee level.</w:t>
      </w:r>
    </w:p>
  </w:footnote>
  <w:footnote w:id="13">
    <w:p>
      <w:r>
        <w:rPr>
          <w:rStyle w:val="FootnoteReference"/>
        </w:rPr>
        <w:footnoteRef/>
      </w:r>
      <w:r>
        <w:rPr>
          <w:rFonts w:ascii="Arial" w:cs="Arial" w:eastAsia="Arial" w:hAnsi="Arial"/>
          <w:color w:val="000000"/>
          <w:sz w:val="18"/>
          <w:szCs w:val="18"/>
        </w:rPr>
        <w:t xml:space="preserve">VentureSouth, 'Venture Capital Management Fees: The Evidence' (2022), citing Litvak (2009). The historical prevalence of flat-fee structures on committed capital is documented in VentureSouth's practitioner summary of the academic literature.</w:t>
      </w:r>
    </w:p>
  </w:footnote>
  <w:footnote w:id="14">
    <w:p>
      <w:r>
        <w:rPr>
          <w:rStyle w:val="FootnoteReference"/>
        </w:rPr>
        <w:footnoteRef/>
      </w:r>
      <w:r>
        <w:rPr>
          <w:rFonts w:ascii="Arial" w:cs="Arial" w:eastAsia="Arial" w:hAnsi="Arial"/>
          <w:color w:val="000000"/>
          <w:sz w:val="18"/>
          <w:szCs w:val="18"/>
        </w:rPr>
        <w:t xml:space="preserve">Metrick and Yasuda (2010), 2315–2318. The four fee calculation methods—flat percentage on committed capital, declining percentage after investment period, constant percentage shifting from committed to invested, and a hybrid—are systematically described in this section of the paper.</w:t>
      </w:r>
    </w:p>
  </w:footnote>
  <w:footnote w:id="15">
    <w:p>
      <w:r>
        <w:rPr>
          <w:rStyle w:val="FootnoteReference"/>
        </w:rPr>
        <w:footnoteRef/>
      </w:r>
      <w:r>
        <w:rPr>
          <w:rFonts w:ascii="Arial" w:cs="Arial" w:eastAsia="Arial" w:hAnsi="Arial"/>
          <w:color w:val="000000"/>
          <w:sz w:val="18"/>
          <w:szCs w:val="18"/>
        </w:rPr>
        <w:t xml:space="preserve">Carta, 'Fund Economics: Small Funds vs. Large Funds' (2023). The 3.4% versus 1.0% operating-expense comparison between the smallest and largest fund cohorts is the central empirical finding of this Carta study.</w:t>
      </w:r>
    </w:p>
  </w:footnote>
  <w:footnote w:id="16">
    <w:p>
      <w:r>
        <w:rPr>
          <w:rStyle w:val="FootnoteReference"/>
        </w:rPr>
        <w:footnoteRef/>
      </w:r>
      <w:r>
        <w:rPr>
          <w:rFonts w:ascii="Arial" w:cs="Arial" w:eastAsia="Arial" w:hAnsi="Arial"/>
          <w:color w:val="000000"/>
          <w:sz w:val="18"/>
          <w:szCs w:val="18"/>
        </w:rPr>
        <w:t xml:space="preserve">Anker Fund, Investment Thesis Document (2024). The description of Anker's strategy—B2B SaaS, HealthTech, Biotech, pre-seed/seed, Berlin–East Africa, with active operational support—is drawn from the fund's internal thesis document.</w:t>
      </w:r>
    </w:p>
  </w:footnote>
  <w:footnote w:id="17">
    <w:p>
      <w:r>
        <w:rPr>
          <w:rStyle w:val="FootnoteReference"/>
        </w:rPr>
        <w:footnoteRef/>
      </w:r>
      <w:r>
        <w:rPr>
          <w:rFonts w:ascii="Arial" w:cs="Arial" w:eastAsia="Arial" w:hAnsi="Arial"/>
          <w:color w:val="000000"/>
          <w:sz w:val="18"/>
          <w:szCs w:val="18"/>
        </w:rPr>
        <w:t xml:space="preserve">Andrew Metrick and Ayako Yasuda, 'Venture Capital and Other Private Equity: A Survey,' European Financial Management 17, no. 4 (2011): 619–654. This survey article synthesises the empirical literature on VC fund economics and is the secondary Metrick-Yasuda source drawn upon throughout the paper.</w:t>
      </w:r>
    </w:p>
  </w:footnote>
  <w:footnote w:id="18">
    <w:p>
      <w:r>
        <w:rPr>
          <w:rStyle w:val="FootnoteReference"/>
        </w:rPr>
        <w:footnoteRef/>
      </w:r>
      <w:r>
        <w:rPr>
          <w:rFonts w:ascii="Arial" w:cs="Arial" w:eastAsia="Arial" w:hAnsi="Arial"/>
          <w:color w:val="000000"/>
          <w:sz w:val="18"/>
          <w:szCs w:val="18"/>
        </w:rPr>
        <w:t xml:space="preserve">Proskauer (2022), 14–17. The specific data on European VC step-down magnitudes (0.25 to 1.0 percentage points) and the preference for commitment-based post-investment fees are drawn from this section of the Proskauer report.</w:t>
      </w:r>
    </w:p>
  </w:footnote>
  <w:footnote w:id="19">
    <w:p>
      <w:r>
        <w:rPr>
          <w:rStyle w:val="FootnoteReference"/>
        </w:rPr>
        <w:footnoteRef/>
      </w:r>
      <w:r>
        <w:rPr>
          <w:rFonts w:ascii="Arial" w:cs="Arial" w:eastAsia="Arial" w:hAnsi="Arial"/>
          <w:color w:val="000000"/>
          <w:sz w:val="18"/>
          <w:szCs w:val="18"/>
        </w:rPr>
        <w:t xml:space="preserve">Sydecar (2023), section 2. The 3%–4% front-loaded fee pattern for emerging managers under $30 million, followed by 0.5%–1% tail fees, is documented here as a practitioner norm rather than an academic finding.</w:t>
      </w:r>
    </w:p>
  </w:footnote>
  <w:footnote w:id="20">
    <w:p>
      <w:r>
        <w:rPr>
          <w:rStyle w:val="FootnoteReference"/>
        </w:rPr>
        <w:footnoteRef/>
      </w:r>
      <w:r>
        <w:rPr>
          <w:rFonts w:ascii="Arial" w:cs="Arial" w:eastAsia="Arial" w:hAnsi="Arial"/>
          <w:color w:val="000000"/>
          <w:sz w:val="18"/>
          <w:szCs w:val="18"/>
        </w:rPr>
        <w:t xml:space="preserve">GoVCLab, 'Venture Capital Management Fee Model' (2023). The illustrative model for a $5 million fund using 3% in years 1–4, 2% in years 5–6, and 1% in years 7–10 is drawn from GoVCLab's published fee-model documentation.</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0BEC5" w:sz="4" w:space="1"/>
      </w:pBdr>
      <w:spacing w:after="120"/>
      <w:jc w:val="right"/>
    </w:pPr>
    <w:r>
      <w:rPr>
        <w:rFonts w:ascii="Arial" w:cs="Arial" w:eastAsia="Arial" w:hAnsi="Arial"/>
        <w:i/>
        <w:iCs/>
        <w:color w:val="4A5568"/>
        <w:sz w:val="18"/>
        <w:szCs w:val="18"/>
      </w:rPr>
      <w:t xml:space="preserve">Management Fee Structures in Venture Capital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2A4A"/>
      <w:sz w:val="28"/>
      <w:szCs w:val="28"/>
    </w:rPr>
  </w:style>
  <w:style w:type="paragraph" w:styleId="Heading2">
    <w:name w:val="Heading 2"/>
    <w:basedOn w:val="Normal"/>
    <w:next w:val="Normal"/>
    <w:qFormat/>
    <w:pPr>
      <w:spacing w:before="240" w:after="80"/>
      <w:outlineLvl w:val="1"/>
    </w:pPr>
    <w:rPr>
      <w:rFonts w:ascii="Arial" w:cs="Arial" w:eastAsia="Arial" w:hAnsi="Arial"/>
      <w:b/>
      <w:bCs/>
      <w:color w:val="2D3E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2026-03-30T12:47:49.571Z</dcterms:created>
  <dcterms:modified xsi:type="dcterms:W3CDTF">2026-03-30T12:47:49.572Z</dcterms:modified>
</cp:coreProperties>
</file>

<file path=docProps/custom.xml><?xml version="1.0" encoding="utf-8"?>
<Properties xmlns="http://schemas.openxmlformats.org/officeDocument/2006/custom-properties" xmlns:vt="http://schemas.openxmlformats.org/officeDocument/2006/docPropsVTypes"/>
</file>