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r>
        <w:rPr>
          <w:rFonts w:ascii="Arial" w:cs="Arial" w:eastAsia="Arial" w:hAnsi="Arial"/>
          <w:b/>
          <w:bCs/>
          <w:color w:val="1A2B4A"/>
          <w:spacing w:val="100"/>
          <w:sz w:val="56"/>
          <w:szCs w:val="56"/>
        </w:rPr>
        <w:t xml:space="preserve">QUANTBLOOM</w:t>
      </w:r>
    </w:p>
    <w:p>
      <w:pPr>
        <w:spacing w:after="40" w:before="60"/>
      </w:pPr>
      <w:r>
        <w:rPr>
          <w:rFonts w:ascii="Arial" w:cs="Arial" w:eastAsia="Arial" w:hAnsi="Arial"/>
          <w:color w:val="B85C00"/>
          <w:sz w:val="34"/>
          <w:szCs w:val="34"/>
        </w:rPr>
        <w:t xml:space="preserve">Bloom Terminal</w:t>
      </w:r>
    </w:p>
    <w:p>
      <w:pPr>
        <w:pBdr>
          <w:bottom w:val="single" w:color="1A2B4A" w:sz="6" w:space="1"/>
        </w:pBdr>
        <w:spacing w:after="160" w:before="0"/>
      </w:pPr>
    </w:p>
    <w:p>
      <w:pPr>
        <w:spacing w:after="40" w:before="60"/>
      </w:pPr>
      <w:r>
        <w:rPr>
          <w:rFonts w:ascii="Arial" w:cs="Arial" w:eastAsia="Arial" w:hAnsi="Arial"/>
          <w:i/>
          <w:iCs/>
          <w:color w:val="5F5E5A"/>
          <w:sz w:val="24"/>
          <w:szCs w:val="24"/>
        </w:rPr>
        <w:t xml:space="preserve">Democratising Professional-Grade Financial Analytics Through Cloud-Native Web Infrastructure</w:t>
      </w:r>
    </w:p>
    <w:p>
      <w:pPr>
        <w:spacing w:after="60" w:before="60"/>
      </w:pPr>
    </w:p>
    <w:p>
      <w:pPr>
        <w:spacing w:after="40" w:before="0"/>
      </w:pPr>
      <w:r>
        <w:rPr>
          <w:rFonts w:ascii="Arial" w:cs="Arial" w:eastAsia="Arial" w:hAnsi="Arial"/>
          <w:b/>
          <w:bCs/>
          <w:color w:val="111111"/>
          <w:sz w:val="22"/>
          <w:szCs w:val="22"/>
        </w:rPr>
        <w:t xml:space="preserve">Philippe Masindet</w:t>
      </w:r>
      <w:r>
        <w:rPr>
          <w:rFonts w:ascii="Arial" w:cs="Arial" w:eastAsia="Arial" w:hAnsi="Arial"/>
          <w:color w:val="5F5E5A"/>
          <w:sz w:val="20"/>
          <w:szCs w:val="20"/>
        </w:rPr>
        <w:t xml:space="preserve">  ·  philippemasindet@proton.me  ·  philippemasindet.com</w:t>
      </w:r>
    </w:p>
    <w:p>
      <w:pPr>
        <w:spacing w:after="40" w:before="0"/>
      </w:pPr>
      <w:r>
        <w:rPr>
          <w:rFonts w:ascii="Arial" w:cs="Arial" w:eastAsia="Arial" w:hAnsi="Arial"/>
          <w:color w:val="5F5E5A"/>
          <w:sz w:val="19"/>
          <w:szCs w:val="19"/>
        </w:rPr>
        <w:t xml:space="preserve">Repository: </w:t>
      </w:r>
      <w:r>
        <w:rPr>
          <w:rFonts w:ascii="Courier New" w:cs="Courier New" w:eastAsia="Courier New" w:hAnsi="Courier New"/>
          <w:color w:val="B85C00"/>
          <w:sz w:val="19"/>
          <w:szCs w:val="19"/>
        </w:rPr>
        <w:t xml:space="preserve">github.com/345668/Quantview</w:t>
      </w:r>
      <w:r>
        <w:rPr>
          <w:rFonts w:ascii="Arial" w:cs="Arial" w:eastAsia="Arial" w:hAnsi="Arial"/>
          <w:color w:val="5F5E5A"/>
          <w:sz w:val="19"/>
          <w:szCs w:val="19"/>
        </w:rPr>
        <w:t xml:space="preserve">  ·  Platform: </w:t>
      </w:r>
      <w:r>
        <w:rPr>
          <w:rFonts w:ascii="Courier New" w:cs="Courier New" w:eastAsia="Courier New" w:hAnsi="Courier New"/>
          <w:color w:val="B85C00"/>
          <w:sz w:val="19"/>
          <w:szCs w:val="19"/>
        </w:rPr>
        <w:t xml:space="preserve">replit.com/@radical-zero/QuantView</w:t>
      </w:r>
    </w:p>
    <w:p>
      <w:pPr>
        <w:spacing w:after="60" w:before="0"/>
      </w:pPr>
      <w:r>
        <w:rPr>
          <w:rFonts w:ascii="Arial" w:cs="Arial" w:eastAsia="Arial" w:hAnsi="Arial"/>
          <w:color w:val="5F5E5A"/>
          <w:sz w:val="19"/>
          <w:szCs w:val="19"/>
        </w:rPr>
        <w:t xml:space="preserve">Document date: October 2025  ·  Stack: TypeScript 98.9%</w:t>
      </w:r>
    </w:p>
    <w:p>
      <w:pPr>
        <w:spacing w:after="60" w:before="60"/>
      </w:pPr>
    </w:p>
    <w:p>
      <w:pPr>
        <w:pStyle w:val="Heading1"/>
        <w:spacing w:after="80" w:before="420"/>
      </w:pPr>
      <w:r>
        <w:rPr>
          <w:rFonts w:ascii="Arial" w:cs="Arial" w:eastAsia="Arial" w:hAnsi="Arial"/>
          <w:b/>
          <w:bCs/>
          <w:color w:val="1A2B4A"/>
          <w:sz w:val="30"/>
          <w:szCs w:val="30"/>
        </w:rPr>
        <w:t xml:space="preserve">Abstract</w:t>
      </w:r>
    </w:p>
    <w:p>
      <w:pPr>
        <w:pBdr>
          <w:bottom w:val="single" w:color="B85C00" w:sz="6" w:space="1"/>
        </w:pBdr>
        <w:spacing w:after="160" w:before="0"/>
      </w:pPr>
    </w:p>
    <w:p>
      <w:pPr>
        <w:spacing w:after="100" w:before="60"/>
      </w:pPr>
      <w:r>
        <w:rPr>
          <w:rFonts w:ascii="Arial" w:cs="Arial" w:eastAsia="Arial" w:hAnsi="Arial"/>
          <w:color w:val="111111"/>
          <w:sz w:val="21"/>
          <w:szCs w:val="21"/>
        </w:rPr>
        <w:t xml:space="preserve">Professional-grade financial analytics have historically been locked behind terminal platforms that cost $20,000 or more per user per year. This access barrier is structural, not technical: the underlying mathematics of risk analytics, the real-time data infrastructure, and the multi-panel terminal interface are all reproducible using modern open web technologies at a fraction of legacy platform costs.</w:t>
      </w:r>
    </w:p>
    <w:p>
      <w:pPr>
        <w:spacing w:after="100" w:before="60"/>
      </w:pPr>
      <w:r>
        <w:rPr>
          <w:rFonts w:ascii="Arial" w:cs="Arial" w:eastAsia="Arial" w:hAnsi="Arial"/>
          <w:color w:val="111111"/>
          <w:sz w:val="21"/>
          <w:szCs w:val="21"/>
        </w:rPr>
        <w:t xml:space="preserve">QuantBloom (Bloom Terminal) is a full-stack financial analytics platform built to validate this thesis. Implemented in TypeScript across a React 18 frontend and Express.js backend, the system delivers real-time market data streaming via WebSocket, a comprehensive risk analytics engine (VaR, CVaR, Sharpe ratio, volatility, maximum drawdown), a historical data ingestion pipeline processing 39,758+ OHLCV records across 158 assets, and a portfolio management layer — all within a professional multi-panel terminal interface.</w:t>
      </w:r>
    </w:p>
    <w:p>
      <w:pPr>
        <w:spacing w:after="100" w:before="60"/>
      </w:pPr>
      <w:r>
        <w:rPr>
          <w:rFonts w:ascii="Arial" w:cs="Arial" w:eastAsia="Arial" w:hAnsi="Arial"/>
          <w:color w:val="111111"/>
          <w:sz w:val="21"/>
          <w:szCs w:val="21"/>
        </w:rPr>
        <w:t xml:space="preserve">This paper documents the system architecture, the engineering decisions made to address real-time data management under API rate constraints, the risk analytics methodology, and the rationale for a deliberate choice to deploy statistical methods before machine learning — with a concrete roadmap for ML integration once the labelled outcome corpus reaches sufficient scale.</w:t>
      </w:r>
    </w:p>
    <w:p>
      <w:pPr>
        <w:pStyle w:val="Heading1"/>
        <w:spacing w:after="80" w:before="420"/>
      </w:pPr>
      <w:r>
        <w:rPr>
          <w:rFonts w:ascii="Arial" w:cs="Arial" w:eastAsia="Arial" w:hAnsi="Arial"/>
          <w:b/>
          <w:bCs/>
          <w:color w:val="1A2B4A"/>
          <w:sz w:val="30"/>
          <w:szCs w:val="30"/>
        </w:rPr>
        <w:t xml:space="preserve">1. Problem Statement and Motivation</w:t>
      </w:r>
    </w:p>
    <w:p>
      <w:pPr>
        <w:pBdr>
          <w:bottom w:val="single" w:color="B85C00" w:sz="6" w:space="1"/>
        </w:pBdr>
        <w:spacing w:after="160" w:before="0"/>
      </w:pPr>
    </w:p>
    <w:p>
      <w:pPr>
        <w:spacing w:after="100" w:before="60"/>
      </w:pPr>
      <w:r>
        <w:rPr>
          <w:rFonts w:ascii="Arial" w:cs="Arial" w:eastAsia="Arial" w:hAnsi="Arial"/>
          <w:color w:val="111111"/>
          <w:sz w:val="21"/>
          <w:szCs w:val="21"/>
        </w:rPr>
        <w:t xml:space="preserve">The Bloomberg Terminal has been the de facto standard for professional financial analytics since 1981. As of 2025, a single-seat subscription costs approximately $27,000 per year, placing institutional-quality tooling out of reach for the majority of sophisticated market participants: independent traders, small hedge funds, boutique advisory firms, and financial researchers without institutional backing.</w:t>
      </w:r>
    </w:p>
    <w:p>
      <w:pPr>
        <w:spacing w:after="100" w:before="60"/>
      </w:pPr>
      <w:r>
        <w:rPr>
          <w:rFonts w:ascii="Arial" w:cs="Arial" w:eastAsia="Arial" w:hAnsi="Arial"/>
          <w:color w:val="111111"/>
          <w:sz w:val="21"/>
          <w:szCs w:val="21"/>
        </w:rPr>
        <w:t xml:space="preserve">The cost structure of legacy financial terminals is not primarily a function of data acquisition or computation. It reflects the pricing power of incumbent platforms that built their moats before cloud infrastructure, open APIs, and modern web frameworks existed. The technical capabilities that justify a $27,000 annual fee — real-time data streaming, risk analytics, multi-asset charting, portfolio tracking — are all implementable today using open-source tooling and free-tier or low-cost data APIs.</w:t>
      </w:r>
    </w:p>
    <w:p>
      <w:pPr>
        <w:spacing w:after="100" w:before="60"/>
      </w:pPr>
      <w:r>
        <w:rPr>
          <w:rFonts w:ascii="Arial" w:cs="Arial" w:eastAsia="Arial" w:hAnsi="Arial"/>
          <w:color w:val="111111"/>
          <w:sz w:val="21"/>
          <w:szCs w:val="21"/>
        </w:rPr>
        <w:t xml:space="preserve">QuantBloom was built to test this claim with a working system rather than a theoretical argument. The primary engineering questions were:</w:t>
      </w:r>
    </w:p>
    <w:p>
      <w:pPr>
        <w:pStyle w:val="ListParagraph"/>
        <w:numPr>
          <w:ilvl w:val="0"/>
          <w:numId w:val="2"/>
        </w:numPr>
        <w:spacing w:after="40" w:before="40"/>
      </w:pPr>
      <w:r>
        <w:rPr>
          <w:rFonts w:ascii="Arial" w:cs="Arial" w:eastAsia="Arial" w:hAnsi="Arial"/>
          <w:color w:val="111111"/>
          <w:sz w:val="21"/>
          <w:szCs w:val="21"/>
        </w:rPr>
        <w:t xml:space="preserve">Can a browser-based application match the data density and responsiveness of a desktop terminal?</w:t>
      </w:r>
    </w:p>
    <w:p>
      <w:pPr>
        <w:pStyle w:val="ListParagraph"/>
        <w:numPr>
          <w:ilvl w:val="0"/>
          <w:numId w:val="2"/>
        </w:numPr>
        <w:spacing w:after="40" w:before="40"/>
      </w:pPr>
      <w:r>
        <w:rPr>
          <w:rFonts w:ascii="Arial" w:cs="Arial" w:eastAsia="Arial" w:hAnsi="Arial"/>
          <w:color w:val="111111"/>
          <w:sz w:val="21"/>
          <w:szCs w:val="21"/>
        </w:rPr>
        <w:t xml:space="preserve">Can real-time market data streaming be delivered reliably under the rate constraints of free and low-cost APIs?</w:t>
      </w:r>
    </w:p>
    <w:p>
      <w:pPr>
        <w:pStyle w:val="ListParagraph"/>
        <w:numPr>
          <w:ilvl w:val="0"/>
          <w:numId w:val="2"/>
        </w:numPr>
        <w:spacing w:after="40" w:before="40"/>
      </w:pPr>
      <w:r>
        <w:rPr>
          <w:rFonts w:ascii="Arial" w:cs="Arial" w:eastAsia="Arial" w:hAnsi="Arial"/>
          <w:color w:val="111111"/>
          <w:sz w:val="21"/>
          <w:szCs w:val="21"/>
        </w:rPr>
        <w:t xml:space="preserve">Can institution-standard risk analytics (VaR, CVaR, Sharpe, drawdown) be implemented correctly and efficiently as a web service?</w:t>
      </w:r>
    </w:p>
    <w:p>
      <w:pPr>
        <w:pStyle w:val="ListParagraph"/>
        <w:numPr>
          <w:ilvl w:val="0"/>
          <w:numId w:val="2"/>
        </w:numPr>
        <w:spacing w:after="40" w:before="40"/>
      </w:pPr>
      <w:r>
        <w:rPr>
          <w:rFonts w:ascii="Arial" w:cs="Arial" w:eastAsia="Arial" w:hAnsi="Arial"/>
          <w:color w:val="111111"/>
          <w:sz w:val="21"/>
          <w:szCs w:val="21"/>
        </w:rPr>
        <w:t xml:space="preserve">What does the right architectural foundation look like for future ML integration, given that a learned ranker requires labelled outcomes that do not yet exist?</w:t>
      </w:r>
    </w:p>
    <w:p>
      <w:pPr>
        <w:spacing w:after="100" w:before="60"/>
      </w:pPr>
      <w:r>
        <w:rPr>
          <w:rFonts w:ascii="Arial" w:cs="Arial" w:eastAsia="Arial" w:hAnsi="Arial"/>
          <w:color w:val="111111"/>
          <w:sz w:val="21"/>
          <w:szCs w:val="21"/>
        </w:rPr>
        <w:t xml:space="preserve">The answers, described in this paper, are affirmative on the first three and opinionated on the fourth.</w:t>
      </w:r>
    </w:p>
    <w:p>
      <w:pPr>
        <w:pStyle w:val="Heading1"/>
        <w:spacing w:after="80" w:before="420"/>
      </w:pPr>
      <w:r>
        <w:rPr>
          <w:rFonts w:ascii="Arial" w:cs="Arial" w:eastAsia="Arial" w:hAnsi="Arial"/>
          <w:b/>
          <w:bCs/>
          <w:color w:val="1A2B4A"/>
          <w:sz w:val="30"/>
          <w:szCs w:val="30"/>
        </w:rPr>
        <w:t xml:space="preserve">2. System Architecture</w:t>
      </w:r>
    </w:p>
    <w:p>
      <w:pPr>
        <w:pBdr>
          <w:bottom w:val="single" w:color="B85C00" w:sz="6" w:space="1"/>
        </w:pBdr>
        <w:spacing w:after="160" w:before="0"/>
      </w:pPr>
    </w:p>
    <w:p>
      <w:pPr>
        <w:spacing w:after="100" w:before="60"/>
      </w:pPr>
      <w:r>
        <w:rPr>
          <w:rFonts w:ascii="Arial" w:cs="Arial" w:eastAsia="Arial" w:hAnsi="Arial"/>
          <w:color w:val="111111"/>
          <w:sz w:val="21"/>
          <w:szCs w:val="21"/>
        </w:rPr>
        <w:t xml:space="preserve">The system follows a full-stack TypeScript monorepo structure with clear separation between client, server, and shared schema layers. All type definitions in shared/schema.ts are consumed by both frontend and backend, eliminating a class of runtime errors that typically emerge at the API boundary.</w:t>
      </w:r>
    </w:p>
    <w:p>
      <w:pPr>
        <w:pStyle w:val="Heading2"/>
        <w:spacing w:after="80" w:before="280"/>
      </w:pPr>
      <w:r>
        <w:rPr>
          <w:rFonts w:ascii="Arial" w:cs="Arial" w:eastAsia="Arial" w:hAnsi="Arial"/>
          <w:b/>
          <w:bCs/>
          <w:color w:val="1A2B4A"/>
          <w:sz w:val="24"/>
          <w:szCs w:val="24"/>
        </w:rPr>
        <w:t xml:space="preserve">2.1. High-Level Architecture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4C2BC" w:sz="1"/>
              <w:left w:val="single" w:color="C4C2BC" w:sz="1"/>
              <w:bottom w:val="single" w:color="C4C2BC" w:sz="1"/>
              <w:right w:val="single" w:color="C4C2BC" w:sz="1"/>
            </w:tcBorders>
            <w:shd w:fill="1A2B4A" w:val="clear"/>
            <w:tcMar>
              <w:top w:type="dxa" w:w="80"/>
              <w:left w:type="dxa" w:w="120"/>
              <w:bottom w:type="dxa" w:w="80"/>
              <w:right w:type="dxa" w:w="120"/>
            </w:tcMar>
          </w:tcPr>
          <w:p>
            <w:r>
              <w:rPr>
                <w:rFonts w:ascii="Arial" w:cs="Arial" w:eastAsia="Arial" w:hAnsi="Arial"/>
                <w:b/>
                <w:bCs/>
                <w:color w:val="FFFFFF"/>
                <w:sz w:val="19"/>
                <w:szCs w:val="19"/>
              </w:rPr>
              <w:t xml:space="preserve">Layer</w:t>
            </w:r>
          </w:p>
        </w:tc>
        <w:tc>
          <w:tcPr>
            <w:tcW w:type="dxa" w:w="5760"/>
            <w:tcBorders>
              <w:top w:val="single" w:color="C4C2BC" w:sz="1"/>
              <w:left w:val="single" w:color="C4C2BC" w:sz="1"/>
              <w:bottom w:val="single" w:color="C4C2BC" w:sz="1"/>
              <w:right w:val="single" w:color="C4C2BC" w:sz="1"/>
            </w:tcBorders>
            <w:shd w:fill="1A2B4A" w:val="clear"/>
            <w:tcMar>
              <w:top w:type="dxa" w:w="80"/>
              <w:left w:type="dxa" w:w="120"/>
              <w:bottom w:type="dxa" w:w="80"/>
              <w:right w:type="dxa" w:w="120"/>
            </w:tcMar>
          </w:tcPr>
          <w:p>
            <w:r>
              <w:rPr>
                <w:rFonts w:ascii="Arial" w:cs="Arial" w:eastAsia="Arial" w:hAnsi="Arial"/>
                <w:b/>
                <w:bCs/>
                <w:color w:val="FFFFFF"/>
                <w:sz w:val="19"/>
                <w:szCs w:val="19"/>
              </w:rPr>
              <w:t xml:space="preserve">Technology and Role</w:t>
            </w:r>
          </w:p>
        </w:tc>
      </w:tr>
      <w:tr>
        <w:tc>
          <w:tcPr>
            <w:tcW w:type="dxa" w:w="3600"/>
            <w:tcBorders>
              <w:top w:val="single" w:color="C4C2BC" w:sz="1"/>
              <w:left w:val="single" w:color="C4C2BC" w:sz="1"/>
              <w:bottom w:val="single" w:color="C4C2BC" w:sz="1"/>
              <w:right w:val="single" w:color="C4C2B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111"/>
                <w:sz w:val="19"/>
                <w:szCs w:val="19"/>
              </w:rPr>
              <w:t xml:space="preserve">Frontend</w:t>
            </w:r>
          </w:p>
        </w:tc>
        <w:tc>
          <w:tcPr>
            <w:tcW w:type="dxa" w:w="5760"/>
            <w:tcBorders>
              <w:top w:val="single" w:color="C4C2BC" w:sz="1"/>
              <w:left w:val="single" w:color="C4C2BC" w:sz="1"/>
              <w:bottom w:val="single" w:color="C4C2BC" w:sz="1"/>
              <w:right w:val="single" w:color="C4C2BC"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React 18 + TypeScript. Multi-panel terminal UI via React Grid Layout. State management via TanStack React Query with automatic cache invalidation.</w:t>
            </w:r>
          </w:p>
        </w:tc>
      </w:tr>
      <w:tr>
        <w:tc>
          <w:tcPr>
            <w:tcW w:type="dxa" w:w="3600"/>
            <w:tcBorders>
              <w:top w:val="single" w:color="C4C2BC" w:sz="1"/>
              <w:left w:val="single" w:color="C4C2BC" w:sz="1"/>
              <w:bottom w:val="single" w:color="C4C2BC" w:sz="1"/>
              <w:right w:val="single" w:color="C4C2BC" w:sz="1"/>
            </w:tcBorders>
            <w:shd w:fill="F1EFE8" w:val="clear"/>
            <w:tcMar>
              <w:top w:type="dxa" w:w="80"/>
              <w:left w:type="dxa" w:w="120"/>
              <w:bottom w:type="dxa" w:w="80"/>
              <w:right w:type="dxa" w:w="120"/>
            </w:tcMar>
          </w:tcPr>
          <w:p>
            <w:r>
              <w:rPr>
                <w:rFonts w:ascii="Courier New" w:cs="Courier New" w:eastAsia="Courier New" w:hAnsi="Courier New"/>
                <w:b w:val="false"/>
                <w:bCs w:val="false"/>
                <w:color w:val="111111"/>
                <w:sz w:val="19"/>
                <w:szCs w:val="19"/>
              </w:rPr>
              <w:t xml:space="preserve">Backend</w:t>
            </w:r>
          </w:p>
        </w:tc>
        <w:tc>
          <w:tcPr>
            <w:tcW w:type="dxa" w:w="5760"/>
            <w:tcBorders>
              <w:top w:val="single" w:color="C4C2BC" w:sz="1"/>
              <w:left w:val="single" w:color="C4C2BC" w:sz="1"/>
              <w:bottom w:val="single" w:color="C4C2BC" w:sz="1"/>
              <w:right w:val="single" w:color="C4C2BC" w:sz="1"/>
            </w:tcBorders>
            <w:shd w:fill="F1EFE8" w:val="clear"/>
            <w:tcMar>
              <w:top w:type="dxa" w:w="80"/>
              <w:left w:type="dxa" w:w="120"/>
              <w:bottom w:type="dxa" w:w="80"/>
              <w:right w:type="dxa" w:w="120"/>
            </w:tcMar>
          </w:tcPr>
          <w:p>
            <w:r>
              <w:rPr>
                <w:rFonts w:ascii="Arial" w:cs="Arial" w:eastAsia="Arial" w:hAnsi="Arial"/>
                <w:b w:val="false"/>
                <w:bCs w:val="false"/>
                <w:color w:val="111111"/>
                <w:sz w:val="19"/>
                <w:szCs w:val="19"/>
              </w:rPr>
              <w:t xml:space="preserve">Express.js + TypeScript. RESTful API with layered service architecture. WebSocket server for real-time push. Node-cron for scheduled data ingestion jobs.</w:t>
            </w:r>
          </w:p>
        </w:tc>
      </w:tr>
      <w:tr>
        <w:tc>
          <w:tcPr>
            <w:tcW w:type="dxa" w:w="3600"/>
            <w:tcBorders>
              <w:top w:val="single" w:color="C4C2BC" w:sz="1"/>
              <w:left w:val="single" w:color="C4C2BC" w:sz="1"/>
              <w:bottom w:val="single" w:color="C4C2BC" w:sz="1"/>
              <w:right w:val="single" w:color="C4C2B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111"/>
                <w:sz w:val="19"/>
                <w:szCs w:val="19"/>
              </w:rPr>
              <w:t xml:space="preserve">Database</w:t>
            </w:r>
          </w:p>
        </w:tc>
        <w:tc>
          <w:tcPr>
            <w:tcW w:type="dxa" w:w="5760"/>
            <w:tcBorders>
              <w:top w:val="single" w:color="C4C2BC" w:sz="1"/>
              <w:left w:val="single" w:color="C4C2BC" w:sz="1"/>
              <w:bottom w:val="single" w:color="C4C2BC" w:sz="1"/>
              <w:right w:val="single" w:color="C4C2BC"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PostgreSQL via Neon serverless. Drizzle ORM for type-safe queries and migrations. Abstracted IStorage interface supporting both in-memory (dev) and database (production) modes.</w:t>
            </w:r>
          </w:p>
        </w:tc>
      </w:tr>
      <w:tr>
        <w:tc>
          <w:tcPr>
            <w:tcW w:type="dxa" w:w="3600"/>
            <w:tcBorders>
              <w:top w:val="single" w:color="C4C2BC" w:sz="1"/>
              <w:left w:val="single" w:color="C4C2BC" w:sz="1"/>
              <w:bottom w:val="single" w:color="C4C2BC" w:sz="1"/>
              <w:right w:val="single" w:color="C4C2BC" w:sz="1"/>
            </w:tcBorders>
            <w:shd w:fill="F1EFE8" w:val="clear"/>
            <w:tcMar>
              <w:top w:type="dxa" w:w="80"/>
              <w:left w:type="dxa" w:w="120"/>
              <w:bottom w:type="dxa" w:w="80"/>
              <w:right w:type="dxa" w:w="120"/>
            </w:tcMar>
          </w:tcPr>
          <w:p>
            <w:r>
              <w:rPr>
                <w:rFonts w:ascii="Courier New" w:cs="Courier New" w:eastAsia="Courier New" w:hAnsi="Courier New"/>
                <w:b w:val="false"/>
                <w:bCs w:val="false"/>
                <w:color w:val="111111"/>
                <w:sz w:val="19"/>
                <w:szCs w:val="19"/>
              </w:rPr>
              <w:t xml:space="preserve">Data Sources</w:t>
            </w:r>
          </w:p>
        </w:tc>
        <w:tc>
          <w:tcPr>
            <w:tcW w:type="dxa" w:w="5760"/>
            <w:tcBorders>
              <w:top w:val="single" w:color="C4C2BC" w:sz="1"/>
              <w:left w:val="single" w:color="C4C2BC" w:sz="1"/>
              <w:bottom w:val="single" w:color="C4C2BC" w:sz="1"/>
              <w:right w:val="single" w:color="C4C2BC" w:sz="1"/>
            </w:tcBorders>
            <w:shd w:fill="F1EFE8" w:val="clear"/>
            <w:tcMar>
              <w:top w:type="dxa" w:w="80"/>
              <w:left w:type="dxa" w:w="120"/>
              <w:bottom w:type="dxa" w:w="80"/>
              <w:right w:type="dxa" w:w="120"/>
            </w:tcMar>
          </w:tcPr>
          <w:p>
            <w:r>
              <w:rPr>
                <w:rFonts w:ascii="Arial" w:cs="Arial" w:eastAsia="Arial" w:hAnsi="Arial"/>
                <w:b w:val="false"/>
                <w:bCs w:val="false"/>
                <w:color w:val="111111"/>
                <w:sz w:val="19"/>
                <w:szCs w:val="19"/>
              </w:rPr>
              <w:t xml:space="preserve">Yahoo Finance (yahoo-finance2) as primary. Alpha Vantage as secondary. CoinGecko for crypto. Multi-layer caching with configurable TTL to manage rate limits.</w:t>
            </w:r>
          </w:p>
        </w:tc>
      </w:tr>
      <w:tr>
        <w:tc>
          <w:tcPr>
            <w:tcW w:type="dxa" w:w="3600"/>
            <w:tcBorders>
              <w:top w:val="single" w:color="C4C2BC" w:sz="1"/>
              <w:left w:val="single" w:color="C4C2BC" w:sz="1"/>
              <w:bottom w:val="single" w:color="C4C2BC" w:sz="1"/>
              <w:right w:val="single" w:color="C4C2B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111"/>
                <w:sz w:val="19"/>
                <w:szCs w:val="19"/>
              </w:rPr>
              <w:t xml:space="preserve">Real-Time</w:t>
            </w:r>
          </w:p>
        </w:tc>
        <w:tc>
          <w:tcPr>
            <w:tcW w:type="dxa" w:w="5760"/>
            <w:tcBorders>
              <w:top w:val="single" w:color="C4C2BC" w:sz="1"/>
              <w:left w:val="single" w:color="C4C2BC" w:sz="1"/>
              <w:bottom w:val="single" w:color="C4C2BC" w:sz="1"/>
              <w:right w:val="single" w:color="C4C2BC"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Native WebSocket server. Server maintains per-client connections and pushes watchlist quote updates every 5 seconds. Automatic reconnection on client side.</w:t>
            </w:r>
          </w:p>
        </w:tc>
      </w:tr>
      <w:tr>
        <w:tc>
          <w:tcPr>
            <w:tcW w:type="dxa" w:w="3600"/>
            <w:tcBorders>
              <w:top w:val="single" w:color="C4C2BC" w:sz="1"/>
              <w:left w:val="single" w:color="C4C2BC" w:sz="1"/>
              <w:bottom w:val="single" w:color="C4C2BC" w:sz="1"/>
              <w:right w:val="single" w:color="C4C2BC" w:sz="1"/>
            </w:tcBorders>
            <w:shd w:fill="F1EFE8" w:val="clear"/>
            <w:tcMar>
              <w:top w:type="dxa" w:w="80"/>
              <w:left w:type="dxa" w:w="120"/>
              <w:bottom w:type="dxa" w:w="80"/>
              <w:right w:type="dxa" w:w="120"/>
            </w:tcMar>
          </w:tcPr>
          <w:p>
            <w:r>
              <w:rPr>
                <w:rFonts w:ascii="Courier New" w:cs="Courier New" w:eastAsia="Courier New" w:hAnsi="Courier New"/>
                <w:b w:val="false"/>
                <w:bCs w:val="false"/>
                <w:color w:val="111111"/>
                <w:sz w:val="19"/>
                <w:szCs w:val="19"/>
              </w:rPr>
              <w:t xml:space="preserve">Auth</w:t>
            </w:r>
          </w:p>
        </w:tc>
        <w:tc>
          <w:tcPr>
            <w:tcW w:type="dxa" w:w="5760"/>
            <w:tcBorders>
              <w:top w:val="single" w:color="C4C2BC" w:sz="1"/>
              <w:left w:val="single" w:color="C4C2BC" w:sz="1"/>
              <w:bottom w:val="single" w:color="C4C2BC" w:sz="1"/>
              <w:right w:val="single" w:color="C4C2BC" w:sz="1"/>
            </w:tcBorders>
            <w:shd w:fill="F1EFE8" w:val="clear"/>
            <w:tcMar>
              <w:top w:type="dxa" w:w="80"/>
              <w:left w:type="dxa" w:w="120"/>
              <w:bottom w:type="dxa" w:w="80"/>
              <w:right w:type="dxa" w:w="120"/>
            </w:tcMar>
          </w:tcPr>
          <w:p>
            <w:r>
              <w:rPr>
                <w:rFonts w:ascii="Arial" w:cs="Arial" w:eastAsia="Arial" w:hAnsi="Arial"/>
                <w:b w:val="false"/>
                <w:bCs w:val="false"/>
                <w:color w:val="111111"/>
                <w:sz w:val="19"/>
                <w:szCs w:val="19"/>
              </w:rPr>
              <w:t xml:space="preserve">Session-based authentication (bcryptjs). Express session with PostgreSQL session store. Per-user data isolation for watchlists and portfolios.</w:t>
            </w:r>
          </w:p>
        </w:tc>
      </w:tr>
    </w:tbl>
    <w:p>
      <w:pPr>
        <w:spacing w:after="60" w:before="60"/>
      </w:pPr>
    </w:p>
    <w:p>
      <w:pPr>
        <w:pStyle w:val="Heading2"/>
        <w:spacing w:after="80" w:before="280"/>
      </w:pPr>
      <w:r>
        <w:rPr>
          <w:rFonts w:ascii="Arial" w:cs="Arial" w:eastAsia="Arial" w:hAnsi="Arial"/>
          <w:b/>
          <w:bCs/>
          <w:color w:val="1A2B4A"/>
          <w:sz w:val="24"/>
          <w:szCs w:val="24"/>
        </w:rPr>
        <w:t xml:space="preserve">2.2. Frontend Architecture</w:t>
      </w:r>
    </w:p>
    <w:p>
      <w:pPr>
        <w:spacing w:after="100" w:before="60"/>
      </w:pPr>
      <w:r>
        <w:rPr>
          <w:rFonts w:ascii="Arial" w:cs="Arial" w:eastAsia="Arial" w:hAnsi="Arial"/>
          <w:color w:val="111111"/>
          <w:sz w:val="21"/>
          <w:szCs w:val="21"/>
        </w:rPr>
        <w:t xml:space="preserve">The main application structure centres on the BloomTerminal component, which orchestrates a collection of specialised panels via React Grid Layout. Each panel — WatchlistPanel, ChartPanel, CompanyFundamentals, PortfolioPanel, NewsPanel — is independently resizable and repositionable, replicating the multi-window interface model of professional terminal software.</w:t>
      </w:r>
    </w:p>
    <w:p>
      <w:pPr>
        <w:spacing w:after="100" w:before="60"/>
      </w:pPr>
      <w:r>
        <w:rPr>
          <w:rFonts w:ascii="Arial" w:cs="Arial" w:eastAsia="Arial" w:hAnsi="Arial"/>
          <w:color w:val="111111"/>
          <w:sz w:val="21"/>
          <w:szCs w:val="21"/>
        </w:rPr>
        <w:t xml:space="preserve">The design system applies a dark theme with orange accent colours to match the terminal aesthetic. Monospace typography in data-dense contexts and proportional typography in narrative contexts are applied consistently. All interactive components are sourced from shadcn/ui and Radix UI to ensure accessibility compliance without custom widget implementation overhead.</w:t>
      </w:r>
    </w:p>
    <w:p>
      <w:pPr>
        <w:spacing w:after="100" w:before="60"/>
      </w:pPr>
      <w:r>
        <w:rPr>
          <w:rFonts w:ascii="Arial" w:cs="Arial" w:eastAsia="Arial" w:hAnsi="Arial"/>
          <w:color w:val="111111"/>
          <w:sz w:val="21"/>
          <w:szCs w:val="21"/>
        </w:rPr>
        <w:t xml:space="preserve">React Query manages all server state with automatic cache invalidation and background refetching. Market quote data is configured with a 5-minute stale time, balancing freshness against API quota consumption. WebSocket messages arriving via the persistent connection trigger targeted cache invalidations rather than full re-renders, maintaining frame rate under high data throughput.</w:t>
      </w:r>
    </w:p>
    <w:p>
      <w:pPr>
        <w:pStyle w:val="Heading2"/>
        <w:spacing w:after="80" w:before="280"/>
      </w:pPr>
      <w:r>
        <w:rPr>
          <w:rFonts w:ascii="Arial" w:cs="Arial" w:eastAsia="Arial" w:hAnsi="Arial"/>
          <w:b/>
          <w:bCs/>
          <w:color w:val="1A2B4A"/>
          <w:sz w:val="24"/>
          <w:szCs w:val="24"/>
        </w:rPr>
        <w:t xml:space="preserve">2.3. Backend Architecture</w:t>
      </w:r>
    </w:p>
    <w:p>
      <w:pPr>
        <w:spacing w:after="100" w:before="60"/>
      </w:pPr>
      <w:r>
        <w:rPr>
          <w:rFonts w:ascii="Arial" w:cs="Arial" w:eastAsia="Arial" w:hAnsi="Arial"/>
          <w:color w:val="111111"/>
          <w:sz w:val="21"/>
          <w:szCs w:val="21"/>
        </w:rPr>
        <w:t xml:space="preserve">The Express.js backend is organised into three layers: route handlers that validate input and dispatch to services; service modules that interact with external APIs and the database; and the storage abstraction layer (IStorage) that decouples business logic from persistence implementation.</w:t>
      </w:r>
    </w:p>
    <w:p>
      <w:pPr>
        <w:spacing w:after="100" w:before="60"/>
      </w:pPr>
      <w:r>
        <w:rPr>
          <w:rFonts w:ascii="Arial" w:cs="Arial" w:eastAsia="Arial" w:hAnsi="Arial"/>
          <w:color w:val="111111"/>
          <w:sz w:val="21"/>
          <w:szCs w:val="21"/>
        </w:rPr>
        <w:t xml:space="preserve">Key API surface: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4C2BC" w:sz="1"/>
              <w:left w:val="single" w:color="C4C2BC" w:sz="1"/>
              <w:bottom w:val="single" w:color="C4C2BC" w:sz="1"/>
              <w:right w:val="single" w:color="C4C2BC" w:sz="1"/>
            </w:tcBorders>
            <w:shd w:fill="1A2B4A" w:val="clear"/>
            <w:tcMar>
              <w:top w:type="dxa" w:w="80"/>
              <w:left w:type="dxa" w:w="120"/>
              <w:bottom w:type="dxa" w:w="80"/>
              <w:right w:type="dxa" w:w="120"/>
            </w:tcMar>
          </w:tcPr>
          <w:p>
            <w:r>
              <w:rPr>
                <w:rFonts w:ascii="Arial" w:cs="Arial" w:eastAsia="Arial" w:hAnsi="Arial"/>
                <w:b/>
                <w:bCs/>
                <w:color w:val="FFFFFF"/>
                <w:sz w:val="19"/>
                <w:szCs w:val="19"/>
              </w:rPr>
              <w:t xml:space="preserve">Endpoint</w:t>
            </w:r>
          </w:p>
        </w:tc>
        <w:tc>
          <w:tcPr>
            <w:tcW w:type="dxa" w:w="5760"/>
            <w:tcBorders>
              <w:top w:val="single" w:color="C4C2BC" w:sz="1"/>
              <w:left w:val="single" w:color="C4C2BC" w:sz="1"/>
              <w:bottom w:val="single" w:color="C4C2BC" w:sz="1"/>
              <w:right w:val="single" w:color="C4C2BC" w:sz="1"/>
            </w:tcBorders>
            <w:shd w:fill="1A2B4A" w:val="clear"/>
            <w:tcMar>
              <w:top w:type="dxa" w:w="80"/>
              <w:left w:type="dxa" w:w="120"/>
              <w:bottom w:type="dxa" w:w="80"/>
              <w:right w:type="dxa" w:w="120"/>
            </w:tcMar>
          </w:tcPr>
          <w:p>
            <w:r>
              <w:rPr>
                <w:rFonts w:ascii="Arial" w:cs="Arial" w:eastAsia="Arial" w:hAnsi="Arial"/>
                <w:b/>
                <w:bCs/>
                <w:color w:val="FFFFFF"/>
                <w:sz w:val="19"/>
                <w:szCs w:val="19"/>
              </w:rPr>
              <w:t xml:space="preserve">Function</w:t>
            </w:r>
          </w:p>
        </w:tc>
      </w:tr>
      <w:tr>
        <w:tc>
          <w:tcPr>
            <w:tcW w:type="dxa" w:w="3600"/>
            <w:tcBorders>
              <w:top w:val="single" w:color="C4C2BC" w:sz="1"/>
              <w:left w:val="single" w:color="C4C2BC" w:sz="1"/>
              <w:bottom w:val="single" w:color="C4C2BC" w:sz="1"/>
              <w:right w:val="single" w:color="C4C2B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111"/>
                <w:sz w:val="19"/>
                <w:szCs w:val="19"/>
              </w:rPr>
              <w:t xml:space="preserve">/api/quote/:symbol</w:t>
            </w:r>
          </w:p>
        </w:tc>
        <w:tc>
          <w:tcPr>
            <w:tcW w:type="dxa" w:w="5760"/>
            <w:tcBorders>
              <w:top w:val="single" w:color="C4C2BC" w:sz="1"/>
              <w:left w:val="single" w:color="C4C2BC" w:sz="1"/>
              <w:bottom w:val="single" w:color="C4C2BC" w:sz="1"/>
              <w:right w:val="single" w:color="C4C2BC"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Real-time stock quote with caching</w:t>
            </w:r>
          </w:p>
        </w:tc>
      </w:tr>
      <w:tr>
        <w:tc>
          <w:tcPr>
            <w:tcW w:type="dxa" w:w="3600"/>
            <w:tcBorders>
              <w:top w:val="single" w:color="C4C2BC" w:sz="1"/>
              <w:left w:val="single" w:color="C4C2BC" w:sz="1"/>
              <w:bottom w:val="single" w:color="C4C2BC" w:sz="1"/>
              <w:right w:val="single" w:color="C4C2BC" w:sz="1"/>
            </w:tcBorders>
            <w:shd w:fill="F1EFE8" w:val="clear"/>
            <w:tcMar>
              <w:top w:type="dxa" w:w="80"/>
              <w:left w:type="dxa" w:w="120"/>
              <w:bottom w:type="dxa" w:w="80"/>
              <w:right w:type="dxa" w:w="120"/>
            </w:tcMar>
          </w:tcPr>
          <w:p>
            <w:r>
              <w:rPr>
                <w:rFonts w:ascii="Courier New" w:cs="Courier New" w:eastAsia="Courier New" w:hAnsi="Courier New"/>
                <w:b w:val="false"/>
                <w:bCs w:val="false"/>
                <w:color w:val="111111"/>
                <w:sz w:val="19"/>
                <w:szCs w:val="19"/>
              </w:rPr>
              <w:t xml:space="preserve">/api/chart/:symbol</w:t>
            </w:r>
          </w:p>
        </w:tc>
        <w:tc>
          <w:tcPr>
            <w:tcW w:type="dxa" w:w="5760"/>
            <w:tcBorders>
              <w:top w:val="single" w:color="C4C2BC" w:sz="1"/>
              <w:left w:val="single" w:color="C4C2BC" w:sz="1"/>
              <w:bottom w:val="single" w:color="C4C2BC" w:sz="1"/>
              <w:right w:val="single" w:color="C4C2BC" w:sz="1"/>
            </w:tcBorders>
            <w:shd w:fill="F1EFE8" w:val="clear"/>
            <w:tcMar>
              <w:top w:type="dxa" w:w="80"/>
              <w:left w:type="dxa" w:w="120"/>
              <w:bottom w:type="dxa" w:w="80"/>
              <w:right w:type="dxa" w:w="120"/>
            </w:tcMar>
          </w:tcPr>
          <w:p>
            <w:r>
              <w:rPr>
                <w:rFonts w:ascii="Arial" w:cs="Arial" w:eastAsia="Arial" w:hAnsi="Arial"/>
                <w:b w:val="false"/>
                <w:bCs w:val="false"/>
                <w:color w:val="111111"/>
                <w:sz w:val="19"/>
                <w:szCs w:val="19"/>
              </w:rPr>
              <w:t xml:space="preserve">Historical chart data (daily / weekly / monthly)</w:t>
            </w:r>
          </w:p>
        </w:tc>
      </w:tr>
      <w:tr>
        <w:tc>
          <w:tcPr>
            <w:tcW w:type="dxa" w:w="3600"/>
            <w:tcBorders>
              <w:top w:val="single" w:color="C4C2BC" w:sz="1"/>
              <w:left w:val="single" w:color="C4C2BC" w:sz="1"/>
              <w:bottom w:val="single" w:color="C4C2BC" w:sz="1"/>
              <w:right w:val="single" w:color="C4C2B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111"/>
                <w:sz w:val="19"/>
                <w:szCs w:val="19"/>
              </w:rPr>
              <w:t xml:space="preserve">/api/options/:symbol</w:t>
            </w:r>
          </w:p>
        </w:tc>
        <w:tc>
          <w:tcPr>
            <w:tcW w:type="dxa" w:w="5760"/>
            <w:tcBorders>
              <w:top w:val="single" w:color="C4C2BC" w:sz="1"/>
              <w:left w:val="single" w:color="C4C2BC" w:sz="1"/>
              <w:bottom w:val="single" w:color="C4C2BC" w:sz="1"/>
              <w:right w:val="single" w:color="C4C2BC"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Options chain data</w:t>
            </w:r>
          </w:p>
        </w:tc>
      </w:tr>
      <w:tr>
        <w:tc>
          <w:tcPr>
            <w:tcW w:type="dxa" w:w="3600"/>
            <w:tcBorders>
              <w:top w:val="single" w:color="C4C2BC" w:sz="1"/>
              <w:left w:val="single" w:color="C4C2BC" w:sz="1"/>
              <w:bottom w:val="single" w:color="C4C2BC" w:sz="1"/>
              <w:right w:val="single" w:color="C4C2BC" w:sz="1"/>
            </w:tcBorders>
            <w:shd w:fill="F1EFE8" w:val="clear"/>
            <w:tcMar>
              <w:top w:type="dxa" w:w="80"/>
              <w:left w:type="dxa" w:w="120"/>
              <w:bottom w:type="dxa" w:w="80"/>
              <w:right w:type="dxa" w:w="120"/>
            </w:tcMar>
          </w:tcPr>
          <w:p>
            <w:r>
              <w:rPr>
                <w:rFonts w:ascii="Courier New" w:cs="Courier New" w:eastAsia="Courier New" w:hAnsi="Courier New"/>
                <w:b w:val="false"/>
                <w:bCs w:val="false"/>
                <w:color w:val="111111"/>
                <w:sz w:val="19"/>
                <w:szCs w:val="19"/>
              </w:rPr>
              <w:t xml:space="preserve">/api/sp500/search</w:t>
            </w:r>
          </w:p>
        </w:tc>
        <w:tc>
          <w:tcPr>
            <w:tcW w:type="dxa" w:w="5760"/>
            <w:tcBorders>
              <w:top w:val="single" w:color="C4C2BC" w:sz="1"/>
              <w:left w:val="single" w:color="C4C2BC" w:sz="1"/>
              <w:bottom w:val="single" w:color="C4C2BC" w:sz="1"/>
              <w:right w:val="single" w:color="C4C2BC" w:sz="1"/>
            </w:tcBorders>
            <w:shd w:fill="F1EFE8" w:val="clear"/>
            <w:tcMar>
              <w:top w:type="dxa" w:w="80"/>
              <w:left w:type="dxa" w:w="120"/>
              <w:bottom w:type="dxa" w:w="80"/>
              <w:right w:type="dxa" w:w="120"/>
            </w:tcMar>
          </w:tcPr>
          <w:p>
            <w:r>
              <w:rPr>
                <w:rFonts w:ascii="Arial" w:cs="Arial" w:eastAsia="Arial" w:hAnsi="Arial"/>
                <w:b w:val="false"/>
                <w:bCs w:val="false"/>
                <w:color w:val="111111"/>
                <w:sz w:val="19"/>
                <w:szCs w:val="19"/>
              </w:rPr>
              <w:t xml:space="preserve">S&amp;P 500 company discovery with autocomplete</w:t>
            </w:r>
          </w:p>
        </w:tc>
      </w:tr>
      <w:tr>
        <w:tc>
          <w:tcPr>
            <w:tcW w:type="dxa" w:w="3600"/>
            <w:tcBorders>
              <w:top w:val="single" w:color="C4C2BC" w:sz="1"/>
              <w:left w:val="single" w:color="C4C2BC" w:sz="1"/>
              <w:bottom w:val="single" w:color="C4C2BC" w:sz="1"/>
              <w:right w:val="single" w:color="C4C2B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111"/>
                <w:sz w:val="19"/>
                <w:szCs w:val="19"/>
              </w:rPr>
              <w:t xml:space="preserve">/api/historical/prices/:symbol</w:t>
            </w:r>
          </w:p>
        </w:tc>
        <w:tc>
          <w:tcPr>
            <w:tcW w:type="dxa" w:w="5760"/>
            <w:tcBorders>
              <w:top w:val="single" w:color="C4C2BC" w:sz="1"/>
              <w:left w:val="single" w:color="C4C2BC" w:sz="1"/>
              <w:bottom w:val="single" w:color="C4C2BC" w:sz="1"/>
              <w:right w:val="single" w:color="C4C2BC"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OHLCV historical data with returns series</w:t>
            </w:r>
          </w:p>
        </w:tc>
      </w:tr>
      <w:tr>
        <w:tc>
          <w:tcPr>
            <w:tcW w:type="dxa" w:w="3600"/>
            <w:tcBorders>
              <w:top w:val="single" w:color="C4C2BC" w:sz="1"/>
              <w:left w:val="single" w:color="C4C2BC" w:sz="1"/>
              <w:bottom w:val="single" w:color="C4C2BC" w:sz="1"/>
              <w:right w:val="single" w:color="C4C2BC" w:sz="1"/>
            </w:tcBorders>
            <w:shd w:fill="F1EFE8" w:val="clear"/>
            <w:tcMar>
              <w:top w:type="dxa" w:w="80"/>
              <w:left w:type="dxa" w:w="120"/>
              <w:bottom w:type="dxa" w:w="80"/>
              <w:right w:type="dxa" w:w="120"/>
            </w:tcMar>
          </w:tcPr>
          <w:p>
            <w:r>
              <w:rPr>
                <w:rFonts w:ascii="Courier New" w:cs="Courier New" w:eastAsia="Courier New" w:hAnsi="Courier New"/>
                <w:b w:val="false"/>
                <w:bCs w:val="false"/>
                <w:color w:val="111111"/>
                <w:sz w:val="19"/>
                <w:szCs w:val="19"/>
              </w:rPr>
              <w:t xml:space="preserve">/api/historical/analytics/:symbol</w:t>
            </w:r>
          </w:p>
        </w:tc>
        <w:tc>
          <w:tcPr>
            <w:tcW w:type="dxa" w:w="5760"/>
            <w:tcBorders>
              <w:top w:val="single" w:color="C4C2BC" w:sz="1"/>
              <w:left w:val="single" w:color="C4C2BC" w:sz="1"/>
              <w:bottom w:val="single" w:color="C4C2BC" w:sz="1"/>
              <w:right w:val="single" w:color="C4C2BC" w:sz="1"/>
            </w:tcBorders>
            <w:shd w:fill="F1EFE8" w:val="clear"/>
            <w:tcMar>
              <w:top w:type="dxa" w:w="80"/>
              <w:left w:type="dxa" w:w="120"/>
              <w:bottom w:type="dxa" w:w="80"/>
              <w:right w:type="dxa" w:w="120"/>
            </w:tcMar>
          </w:tcPr>
          <w:p>
            <w:r>
              <w:rPr>
                <w:rFonts w:ascii="Arial" w:cs="Arial" w:eastAsia="Arial" w:hAnsi="Arial"/>
                <w:b w:val="false"/>
                <w:bCs w:val="false"/>
                <w:color w:val="111111"/>
                <w:sz w:val="19"/>
                <w:szCs w:val="19"/>
              </w:rPr>
              <w:t xml:space="preserve">VaR, CVaR, Sharpe ratio, volatility, max drawdown</w:t>
            </w:r>
          </w:p>
        </w:tc>
      </w:tr>
      <w:tr>
        <w:tc>
          <w:tcPr>
            <w:tcW w:type="dxa" w:w="3600"/>
            <w:tcBorders>
              <w:top w:val="single" w:color="C4C2BC" w:sz="1"/>
              <w:left w:val="single" w:color="C4C2BC" w:sz="1"/>
              <w:bottom w:val="single" w:color="C4C2BC" w:sz="1"/>
              <w:right w:val="single" w:color="C4C2B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111"/>
                <w:sz w:val="19"/>
                <w:szCs w:val="19"/>
              </w:rPr>
              <w:t xml:space="preserve">/api/historical/ingest</w:t>
            </w:r>
          </w:p>
        </w:tc>
        <w:tc>
          <w:tcPr>
            <w:tcW w:type="dxa" w:w="5760"/>
            <w:tcBorders>
              <w:top w:val="single" w:color="C4C2BC" w:sz="1"/>
              <w:left w:val="single" w:color="C4C2BC" w:sz="1"/>
              <w:bottom w:val="single" w:color="C4C2BC" w:sz="1"/>
              <w:right w:val="single" w:color="C4C2BC"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Job control for data ingestion pipeline</w:t>
            </w:r>
          </w:p>
        </w:tc>
      </w:tr>
      <w:tr>
        <w:tc>
          <w:tcPr>
            <w:tcW w:type="dxa" w:w="3600"/>
            <w:tcBorders>
              <w:top w:val="single" w:color="C4C2BC" w:sz="1"/>
              <w:left w:val="single" w:color="C4C2BC" w:sz="1"/>
              <w:bottom w:val="single" w:color="C4C2BC" w:sz="1"/>
              <w:right w:val="single" w:color="C4C2BC" w:sz="1"/>
            </w:tcBorders>
            <w:shd w:fill="F1EFE8" w:val="clear"/>
            <w:tcMar>
              <w:top w:type="dxa" w:w="80"/>
              <w:left w:type="dxa" w:w="120"/>
              <w:bottom w:type="dxa" w:w="80"/>
              <w:right w:type="dxa" w:w="120"/>
            </w:tcMar>
          </w:tcPr>
          <w:p>
            <w:r>
              <w:rPr>
                <w:rFonts w:ascii="Courier New" w:cs="Courier New" w:eastAsia="Courier New" w:hAnsi="Courier New"/>
                <w:b w:val="false"/>
                <w:bCs w:val="false"/>
                <w:color w:val="111111"/>
                <w:sz w:val="19"/>
                <w:szCs w:val="19"/>
              </w:rPr>
              <w:t xml:space="preserve">/api/watchlists</w:t>
            </w:r>
          </w:p>
        </w:tc>
        <w:tc>
          <w:tcPr>
            <w:tcW w:type="dxa" w:w="5760"/>
            <w:tcBorders>
              <w:top w:val="single" w:color="C4C2BC" w:sz="1"/>
              <w:left w:val="single" w:color="C4C2BC" w:sz="1"/>
              <w:bottom w:val="single" w:color="C4C2BC" w:sz="1"/>
              <w:right w:val="single" w:color="C4C2BC" w:sz="1"/>
            </w:tcBorders>
            <w:shd w:fill="F1EFE8" w:val="clear"/>
            <w:tcMar>
              <w:top w:type="dxa" w:w="80"/>
              <w:left w:type="dxa" w:w="120"/>
              <w:bottom w:type="dxa" w:w="80"/>
              <w:right w:type="dxa" w:w="120"/>
            </w:tcMar>
          </w:tcPr>
          <w:p>
            <w:r>
              <w:rPr>
                <w:rFonts w:ascii="Arial" w:cs="Arial" w:eastAsia="Arial" w:hAnsi="Arial"/>
                <w:b w:val="false"/>
                <w:bCs w:val="false"/>
                <w:color w:val="111111"/>
                <w:sz w:val="19"/>
                <w:szCs w:val="19"/>
              </w:rPr>
              <w:t xml:space="preserve">User watchlist CRUD (authenticated)</w:t>
            </w:r>
          </w:p>
        </w:tc>
      </w:tr>
      <w:tr>
        <w:tc>
          <w:tcPr>
            <w:tcW w:type="dxa" w:w="3600"/>
            <w:tcBorders>
              <w:top w:val="single" w:color="C4C2BC" w:sz="1"/>
              <w:left w:val="single" w:color="C4C2BC" w:sz="1"/>
              <w:bottom w:val="single" w:color="C4C2BC" w:sz="1"/>
              <w:right w:val="single" w:color="C4C2B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111"/>
                <w:sz w:val="19"/>
                <w:szCs w:val="19"/>
              </w:rPr>
              <w:t xml:space="preserve">/api/portfolio</w:t>
            </w:r>
          </w:p>
        </w:tc>
        <w:tc>
          <w:tcPr>
            <w:tcW w:type="dxa" w:w="5760"/>
            <w:tcBorders>
              <w:top w:val="single" w:color="C4C2BC" w:sz="1"/>
              <w:left w:val="single" w:color="C4C2BC" w:sz="1"/>
              <w:bottom w:val="single" w:color="C4C2BC" w:sz="1"/>
              <w:right w:val="single" w:color="C4C2BC"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Portfolio position management (authenticated)</w:t>
            </w:r>
          </w:p>
        </w:tc>
      </w:tr>
    </w:tbl>
    <w:p>
      <w:pPr>
        <w:spacing w:after="60" w:before="60"/>
      </w:pPr>
    </w:p>
    <w:p>
      <w:pPr>
        <w:pStyle w:val="Heading2"/>
        <w:spacing w:after="80" w:before="280"/>
      </w:pPr>
      <w:r>
        <w:rPr>
          <w:rFonts w:ascii="Arial" w:cs="Arial" w:eastAsia="Arial" w:hAnsi="Arial"/>
          <w:b/>
          <w:bCs/>
          <w:color w:val="1A2B4A"/>
          <w:sz w:val="24"/>
          <w:szCs w:val="24"/>
        </w:rPr>
        <w:t xml:space="preserve">2.4. Data Storage</w:t>
      </w:r>
    </w:p>
    <w:p>
      <w:pPr>
        <w:spacing w:after="100" w:before="60"/>
      </w:pPr>
      <w:r>
        <w:rPr>
          <w:rFonts w:ascii="Arial" w:cs="Arial" w:eastAsia="Arial" w:hAnsi="Arial"/>
          <w:color w:val="111111"/>
          <w:sz w:val="21"/>
          <w:szCs w:val="21"/>
        </w:rPr>
        <w:t xml:space="preserve">The database schema includes five primary tables: users, watchlist_items, portfolio_positions, historical_prices, and data_ingestion_jobs. The historical_prices table is indexed on (symbol, date) for efficient range queries; the data_ingestion_jobs table provides UUID-keyed job tracking with status, progress, and error state fields.</w:t>
      </w:r>
    </w:p>
    <w:p>
      <w:pPr>
        <w:spacing w:after="100" w:before="60"/>
      </w:pPr>
      <w:r>
        <w:rPr>
          <w:rFonts w:ascii="Arial" w:cs="Arial" w:eastAsia="Arial" w:hAnsi="Arial"/>
          <w:color w:val="111111"/>
          <w:sz w:val="21"/>
          <w:szCs w:val="21"/>
        </w:rPr>
        <w:t xml:space="preserve">The IStorage abstraction allows the application to run against in-memory storage in development without any database dependency, switching to the PostgreSQL implementation by changing a single environment variable. This design pattern eliminates a significant class of environment-specific bugs.</w:t>
      </w:r>
    </w:p>
    <w:p>
      <w:pPr>
        <w:pStyle w:val="Heading1"/>
        <w:spacing w:after="80" w:before="420"/>
      </w:pPr>
      <w:r>
        <w:rPr>
          <w:rFonts w:ascii="Arial" w:cs="Arial" w:eastAsia="Arial" w:hAnsi="Arial"/>
          <w:b/>
          <w:bCs/>
          <w:color w:val="1A2B4A"/>
          <w:sz w:val="30"/>
          <w:szCs w:val="30"/>
        </w:rPr>
        <w:t xml:space="preserve">3. Real-Time Data Pipeline</w:t>
      </w:r>
    </w:p>
    <w:p>
      <w:pPr>
        <w:pBdr>
          <w:bottom w:val="single" w:color="B85C00" w:sz="6" w:space="1"/>
        </w:pBdr>
        <w:spacing w:after="160" w:before="0"/>
      </w:pPr>
    </w:p>
    <w:p>
      <w:pPr>
        <w:pStyle w:val="Heading2"/>
        <w:spacing w:after="80" w:before="280"/>
      </w:pPr>
      <w:r>
        <w:rPr>
          <w:rFonts w:ascii="Arial" w:cs="Arial" w:eastAsia="Arial" w:hAnsi="Arial"/>
          <w:b/>
          <w:bCs/>
          <w:color w:val="1A2B4A"/>
          <w:sz w:val="24"/>
          <w:szCs w:val="24"/>
        </w:rPr>
        <w:t xml:space="preserve">3.1. The Rate Limit Problem</w:t>
      </w:r>
    </w:p>
    <w:p>
      <w:pPr>
        <w:spacing w:after="100" w:before="60"/>
      </w:pPr>
      <w:r>
        <w:rPr>
          <w:rFonts w:ascii="Arial" w:cs="Arial" w:eastAsia="Arial" w:hAnsi="Arial"/>
          <w:color w:val="111111"/>
          <w:sz w:val="21"/>
          <w:szCs w:val="21"/>
        </w:rPr>
        <w:t xml:space="preserve">Real-time market data delivery under free-tier API constraints is fundamentally a cache design problem. Yahoo Finance's yahoo-finance2 library provides accurate data but imposes rate limits that make naive polling architectures untenable at scale. The design must minimise outbound API calls while maximising perceived data freshness for the end user.</w:t>
      </w:r>
    </w:p>
    <w:p>
      <w:pPr>
        <w:spacing w:after="100" w:before="60"/>
      </w:pPr>
      <w:r>
        <w:rPr>
          <w:rFonts w:ascii="Arial" w:cs="Arial" w:eastAsia="Arial" w:hAnsi="Arial"/>
          <w:color w:val="111111"/>
          <w:sz w:val="21"/>
          <w:szCs w:val="21"/>
        </w:rPr>
        <w:t xml:space="preserve">The solution uses a two-level approach: a server-side in-memory cache with configurable TTL that batches multiple client requests into single API calls, and a WebSocket push model that eliminates per-client polling entirely.</w:t>
      </w:r>
    </w:p>
    <w:p>
      <w:pPr>
        <w:pStyle w:val="Heading2"/>
        <w:spacing w:after="80" w:before="280"/>
      </w:pPr>
      <w:r>
        <w:rPr>
          <w:rFonts w:ascii="Arial" w:cs="Arial" w:eastAsia="Arial" w:hAnsi="Arial"/>
          <w:b/>
          <w:bCs/>
          <w:color w:val="1A2B4A"/>
          <w:sz w:val="24"/>
          <w:szCs w:val="24"/>
        </w:rPr>
        <w:t xml:space="preserve">3.2. WebSocket Push Architecture</w:t>
      </w:r>
    </w:p>
    <w:p>
      <w:pPr>
        <w:spacing w:after="100" w:before="60"/>
      </w:pPr>
      <w:r>
        <w:rPr>
          <w:rFonts w:ascii="Arial" w:cs="Arial" w:eastAsia="Arial" w:hAnsi="Arial"/>
          <w:color w:val="111111"/>
          <w:sz w:val="21"/>
          <w:szCs w:val="21"/>
        </w:rPr>
        <w:t xml:space="preserve">Rather than each connected client polling the backend independently, the server maintains a single set of scheduled refreshes for all symbols currently tracked across all active watchlists. When a quote updates, the server pushes the delta to all clients tracking that symbol via their open WebSocket connections.</w:t>
      </w:r>
    </w:p>
    <w:p>
      <w:pPr>
        <w:spacing w:after="100" w:before="60"/>
      </w:pPr>
      <w:r>
        <w:rPr>
          <w:rFonts w:ascii="Arial" w:cs="Arial" w:eastAsia="Arial" w:hAnsi="Arial"/>
          <w:color w:val="111111"/>
          <w:sz w:val="21"/>
          <w:szCs w:val="21"/>
        </w:rPr>
        <w:t xml:space="preserve">This architecture reduces outbound API calls by approximately 90% compared to a naive per-client polling model, while keeping quote latency below 5 seconds. The WebSocket server implements automatic connection recovery on both client and server sides.</w:t>
      </w:r>
    </w:p>
    <w:p>
      <w:pPr>
        <w:pStyle w:val="Heading2"/>
        <w:spacing w:after="80" w:before="280"/>
      </w:pPr>
      <w:r>
        <w:rPr>
          <w:rFonts w:ascii="Arial" w:cs="Arial" w:eastAsia="Arial" w:hAnsi="Arial"/>
          <w:b/>
          <w:bCs/>
          <w:color w:val="1A2B4A"/>
          <w:sz w:val="24"/>
          <w:szCs w:val="24"/>
        </w:rPr>
        <w:t xml:space="preserve">3.3. Multi-Source Failover</w:t>
      </w:r>
    </w:p>
    <w:p>
      <w:pPr>
        <w:spacing w:after="100" w:before="60"/>
      </w:pPr>
      <w:r>
        <w:rPr>
          <w:rFonts w:ascii="Arial" w:cs="Arial" w:eastAsia="Arial" w:hAnsi="Arial"/>
          <w:color w:val="111111"/>
          <w:sz w:val="21"/>
          <w:szCs w:val="21"/>
        </w:rPr>
        <w:t xml:space="preserve">The data layer implements a prioritised source hierarchy:</w:t>
      </w:r>
    </w:p>
    <w:p>
      <w:pPr>
        <w:pStyle w:val="ListParagraph"/>
        <w:numPr>
          <w:ilvl w:val="0"/>
          <w:numId w:val="3"/>
        </w:numPr>
        <w:spacing w:after="40" w:before="40"/>
      </w:pPr>
      <w:r>
        <w:rPr>
          <w:rFonts w:ascii="Arial" w:cs="Arial" w:eastAsia="Arial" w:hAnsi="Arial"/>
          <w:color w:val="111111"/>
          <w:sz w:val="21"/>
          <w:szCs w:val="21"/>
        </w:rPr>
        <w:t xml:space="preserve">Yahoo Finance (yahoo-finance2) — primary, covers equities, indices, ETFs, commodities, forex</w:t>
      </w:r>
    </w:p>
    <w:p>
      <w:pPr>
        <w:pStyle w:val="ListParagraph"/>
        <w:numPr>
          <w:ilvl w:val="0"/>
          <w:numId w:val="3"/>
        </w:numPr>
        <w:spacing w:after="40" w:before="40"/>
      </w:pPr>
      <w:r>
        <w:rPr>
          <w:rFonts w:ascii="Arial" w:cs="Arial" w:eastAsia="Arial" w:hAnsi="Arial"/>
          <w:color w:val="111111"/>
          <w:sz w:val="21"/>
          <w:szCs w:val="21"/>
        </w:rPr>
        <w:t xml:space="preserve">Alpha Vantage — secondary, provides alternative feeds and enhanced analytics data</w:t>
      </w:r>
    </w:p>
    <w:p>
      <w:pPr>
        <w:pStyle w:val="ListParagraph"/>
        <w:numPr>
          <w:ilvl w:val="0"/>
          <w:numId w:val="3"/>
        </w:numPr>
        <w:spacing w:after="40" w:before="40"/>
      </w:pPr>
      <w:r>
        <w:rPr>
          <w:rFonts w:ascii="Arial" w:cs="Arial" w:eastAsia="Arial" w:hAnsi="Arial"/>
          <w:color w:val="111111"/>
          <w:sz w:val="21"/>
          <w:szCs w:val="21"/>
        </w:rPr>
        <w:t xml:space="preserve">CoinGecko — cryptocurrency market data and trending assets</w:t>
      </w:r>
    </w:p>
    <w:p>
      <w:pPr>
        <w:spacing w:after="100" w:before="60"/>
      </w:pPr>
      <w:r>
        <w:rPr>
          <w:rFonts w:ascii="Arial" w:cs="Arial" w:eastAsia="Arial" w:hAnsi="Arial"/>
          <w:color w:val="111111"/>
          <w:sz w:val="21"/>
          <w:szCs w:val="21"/>
        </w:rPr>
        <w:t xml:space="preserve">Automatic retry logic (3 attempts, exponential backoff) handles transient failures before falling back to cached data. Users receive stale-data indicators rather than errors when all retries are exhausted.</w:t>
      </w:r>
    </w:p>
    <w:p>
      <w:pPr>
        <w:pStyle w:val="Heading2"/>
        <w:spacing w:after="80" w:before="280"/>
      </w:pPr>
      <w:r>
        <w:rPr>
          <w:rFonts w:ascii="Arial" w:cs="Arial" w:eastAsia="Arial" w:hAnsi="Arial"/>
          <w:b/>
          <w:bCs/>
          <w:color w:val="1A2B4A"/>
          <w:sz w:val="24"/>
          <w:szCs w:val="24"/>
        </w:rPr>
        <w:t xml:space="preserve">3.4. Historical Data Ingestion Pipeline</w:t>
      </w:r>
    </w:p>
    <w:p>
      <w:pPr>
        <w:spacing w:after="100" w:before="60"/>
      </w:pPr>
      <w:r>
        <w:rPr>
          <w:rFonts w:ascii="Arial" w:cs="Arial" w:eastAsia="Arial" w:hAnsi="Arial"/>
          <w:color w:val="111111"/>
          <w:sz w:val="21"/>
          <w:szCs w:val="21"/>
        </w:rPr>
        <w:t xml:space="preserve">The historical data system was implemented and deployed in September 2025. It operates as a background job management system separate from the real-time API layer.</w:t>
      </w:r>
    </w:p>
    <w:p>
      <w:pPr>
        <w:spacing w:after="100" w:before="60"/>
      </w:pPr>
      <w:r>
        <w:rPr>
          <w:rFonts w:ascii="Arial" w:cs="Arial" w:eastAsia="Arial" w:hAnsi="Arial"/>
          <w:color w:val="111111"/>
          <w:sz w:val="21"/>
          <w:szCs w:val="21"/>
        </w:rPr>
        <w:t xml:space="preserve">Architecture:</w:t>
      </w:r>
    </w:p>
    <w:p>
      <w:pPr>
        <w:pStyle w:val="ListParagraph"/>
        <w:numPr>
          <w:ilvl w:val="0"/>
          <w:numId w:val="2"/>
        </w:numPr>
        <w:spacing w:after="40" w:before="40"/>
      </w:pPr>
      <w:r>
        <w:rPr>
          <w:rFonts w:ascii="Arial" w:cs="Arial" w:eastAsia="Arial" w:hAnsi="Arial"/>
          <w:color w:val="111111"/>
          <w:sz w:val="21"/>
          <w:szCs w:val="21"/>
        </w:rPr>
        <w:t xml:space="preserve">[object Object]</w:t>
      </w:r>
    </w:p>
    <w:p>
      <w:pPr>
        <w:pStyle w:val="ListParagraph"/>
        <w:numPr>
          <w:ilvl w:val="0"/>
          <w:numId w:val="2"/>
        </w:numPr>
        <w:spacing w:after="40" w:before="40"/>
      </w:pPr>
      <w:r>
        <w:rPr>
          <w:rFonts w:ascii="Arial" w:cs="Arial" w:eastAsia="Arial" w:hAnsi="Arial"/>
          <w:b/>
          <w:bCs/>
          <w:color w:val="1A2B4A"/>
          <w:sz w:val="21"/>
          <w:szCs w:val="21"/>
        </w:rPr>
        <w:t xml:space="preserve">Job lifecycle management: </w:t>
      </w:r>
      <w:r>
        <w:rPr>
          <w:rFonts w:ascii="Arial" w:cs="Arial" w:eastAsia="Arial" w:hAnsi="Arial"/>
          <w:color w:val="111111"/>
          <w:sz w:val="21"/>
          <w:szCs w:val="21"/>
        </w:rPr>
        <w:t xml:space="preserve">UUID-keyed jobs with status (pending / running / completed / failed), progress percentage, and error capture.</w:t>
      </w:r>
    </w:p>
    <w:p>
      <w:pPr>
        <w:pStyle w:val="ListParagraph"/>
        <w:numPr>
          <w:ilvl w:val="0"/>
          <w:numId w:val="2"/>
        </w:numPr>
        <w:spacing w:after="40" w:before="40"/>
      </w:pPr>
      <w:r>
        <w:rPr>
          <w:rFonts w:ascii="Arial" w:cs="Arial" w:eastAsia="Arial" w:hAnsi="Arial"/>
          <w:b/>
          <w:bCs/>
          <w:color w:val="1A2B4A"/>
          <w:sz w:val="21"/>
          <w:szCs w:val="21"/>
        </w:rPr>
        <w:t xml:space="preserve">Batch processing: </w:t>
      </w:r>
      <w:r>
        <w:rPr>
          <w:rFonts w:ascii="Arial" w:cs="Arial" w:eastAsia="Arial" w:hAnsi="Arial"/>
          <w:color w:val="111111"/>
          <w:sz w:val="21"/>
          <w:szCs w:val="21"/>
        </w:rPr>
        <w:t xml:space="preserve">Configurable batch sizes with 1-second inter-call delays and 2-second inter-batch delays to respect API rate limits.</w:t>
      </w:r>
    </w:p>
    <w:p>
      <w:pPr>
        <w:pStyle w:val="ListParagraph"/>
        <w:numPr>
          <w:ilvl w:val="0"/>
          <w:numId w:val="2"/>
        </w:numPr>
        <w:spacing w:after="40" w:before="40"/>
      </w:pPr>
      <w:r>
        <w:rPr>
          <w:rFonts w:ascii="Arial" w:cs="Arial" w:eastAsia="Arial" w:hAnsi="Arial"/>
          <w:b/>
          <w:bCs/>
          <w:color w:val="1A2B4A"/>
          <w:sz w:val="21"/>
          <w:szCs w:val="21"/>
        </w:rPr>
        <w:t xml:space="preserve">Upsert semantics: </w:t>
      </w:r>
      <w:r>
        <w:rPr>
          <w:rFonts w:ascii="Arial" w:cs="Arial" w:eastAsia="Arial" w:hAnsi="Arial"/>
          <w:color w:val="111111"/>
          <w:sz w:val="21"/>
          <w:szCs w:val="21"/>
        </w:rPr>
        <w:t xml:space="preserve">Re-running the pipeline on the same symbols is idempotent — existing records are updated, not duplicated.</w:t>
      </w:r>
    </w:p>
    <w:p>
      <w:pPr>
        <w:pStyle w:val="ListParagraph"/>
        <w:numPr>
          <w:ilvl w:val="0"/>
          <w:numId w:val="2"/>
        </w:numPr>
        <w:spacing w:after="40" w:before="40"/>
      </w:pPr>
      <w:r>
        <w:rPr>
          <w:rFonts w:ascii="Arial" w:cs="Arial" w:eastAsia="Arial" w:hAnsi="Arial"/>
          <w:b/>
          <w:bCs/>
          <w:color w:val="1A2B4A"/>
          <w:sz w:val="21"/>
          <w:szCs w:val="21"/>
        </w:rPr>
        <w:t xml:space="preserve">Scope: </w:t>
      </w:r>
      <w:r>
        <w:rPr>
          <w:rFonts w:ascii="Arial" w:cs="Arial" w:eastAsia="Arial" w:hAnsi="Arial"/>
          <w:color w:val="111111"/>
          <w:sz w:val="21"/>
          <w:szCs w:val="21"/>
        </w:rPr>
        <w:t xml:space="preserve">158 stock assets, 1-year lookback, daily timeframe. Projected record count: 39,758 (approximately 251 trading days per asset). Active job ID: 2b575b09-861d-48df-a45e-8e7fd498ee05.</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FFFFFF" w:sz="0"/>
              <w:left w:val="none" w:color="FFFFFF" w:sz="0"/>
              <w:bottom w:val="none" w:color="FFFFFF" w:sz="0"/>
              <w:right w:val="none" w:color="FFFFFF" w:sz="0"/>
            </w:tcBorders>
            <w:shd w:fill="B85C00" w:val="clear"/>
            <w:tcMar>
              <w:top w:type="dxa" w:w="80"/>
              <w:left w:type="dxa" w:w="100"/>
              <w:bottom w:type="dxa" w:w="80"/>
              <w:right w:type="dxa" w:w="80"/>
            </w:tcMar>
          </w:tcPr>
          <w:p>
            <w:pPr>
              <w:jc w:val="center"/>
            </w:pPr>
            <w:r>
              <w:rPr>
                <w:rFonts w:ascii="Arial" w:cs="Arial" w:eastAsia="Arial" w:hAnsi="Arial"/>
                <w:b/>
                <w:bCs/>
                <w:color w:val="FFFFFF"/>
                <w:sz w:val="17"/>
                <w:szCs w:val="17"/>
              </w:rPr>
              <w:t xml:space="preserve">NOTE</w:t>
            </w:r>
          </w:p>
        </w:tc>
        <w:tc>
          <w:tcPr>
            <w:tcW w:type="dxa" w:w="9000"/>
            <w:tcBorders>
              <w:top w:val="none" w:color="FFFFFF" w:sz="0"/>
              <w:left w:val="none" w:color="FFFFFF" w:sz="0"/>
              <w:bottom w:val="none" w:color="FFFFFF" w:sz="0"/>
              <w:right w:val="none" w:color="FFFFFF" w:sz="0"/>
            </w:tcBorders>
            <w:shd w:fill="FEF6EC" w:val="clear"/>
            <w:tcMar>
              <w:top w:type="dxa" w:w="80"/>
              <w:left w:type="dxa" w:w="160"/>
              <w:bottom w:type="dxa" w:w="80"/>
              <w:right w:type="dxa" w:w="120"/>
            </w:tcMar>
          </w:tcPr>
          <w:p>
            <w:r>
              <w:rPr>
                <w:rFonts w:ascii="Arial" w:cs="Arial" w:eastAsia="Arial" w:hAnsi="Arial"/>
                <w:i/>
                <w:iCs/>
                <w:color w:val="1A2B4A"/>
                <w:sz w:val="19"/>
                <w:szCs w:val="19"/>
              </w:rPr>
              <w:t xml:space="preserve">The historical data pipeline is designed as the training data substrate for future ML models. The schema includes a prediction_models table with fields for model type (linear_regression, LSTM, ARIMA, ensemble), time horizon, confidence score, and supporting/risk factors. This infrastructure is not yet active; it will be activated once labelled outcome data reaches the threshold described in Section 5.</w:t>
            </w:r>
          </w:p>
        </w:tc>
      </w:tr>
    </w:tbl>
    <w:p>
      <w:pPr>
        <w:pStyle w:val="Heading1"/>
        <w:spacing w:after="80" w:before="420"/>
      </w:pPr>
      <w:r>
        <w:rPr>
          <w:rFonts w:ascii="Arial" w:cs="Arial" w:eastAsia="Arial" w:hAnsi="Arial"/>
          <w:b/>
          <w:bCs/>
          <w:color w:val="1A2B4A"/>
          <w:sz w:val="30"/>
          <w:szCs w:val="30"/>
        </w:rPr>
        <w:t xml:space="preserve">4. Risk Analytics Engine</w:t>
      </w:r>
    </w:p>
    <w:p>
      <w:pPr>
        <w:pBdr>
          <w:bottom w:val="single" w:color="B85C00" w:sz="6" w:space="1"/>
        </w:pBdr>
        <w:spacing w:after="160" w:before="0"/>
      </w:pPr>
    </w:p>
    <w:p>
      <w:pPr>
        <w:spacing w:after="100" w:before="60"/>
      </w:pPr>
      <w:r>
        <w:rPr>
          <w:rFonts w:ascii="Arial" w:cs="Arial" w:eastAsia="Arial" w:hAnsi="Arial"/>
          <w:color w:val="111111"/>
          <w:sz w:val="21"/>
          <w:szCs w:val="21"/>
        </w:rPr>
        <w:t xml:space="preserve">The analytics API (/api/historical/analytics/:symbol) implements the standard quantitative risk metrics used in institutional portfolio management. All calculations use established mathematical formulas applied to the OHLCV historical dataset. The choice to implement statistical methods before machine learning was deliberate and is addressed in Section 5.</w:t>
      </w:r>
    </w:p>
    <w:p>
      <w:pPr>
        <w:pStyle w:val="Heading2"/>
        <w:spacing w:after="80" w:before="280"/>
      </w:pPr>
      <w:r>
        <w:rPr>
          <w:rFonts w:ascii="Arial" w:cs="Arial" w:eastAsia="Arial" w:hAnsi="Arial"/>
          <w:b/>
          <w:bCs/>
          <w:color w:val="1A2B4A"/>
          <w:sz w:val="24"/>
          <w:szCs w:val="24"/>
        </w:rPr>
        <w:t xml:space="preserve">4.1. Returns Series</w:t>
      </w:r>
    </w:p>
    <w:p>
      <w:pPr>
        <w:spacing w:after="100" w:before="60"/>
      </w:pPr>
      <w:r>
        <w:rPr>
          <w:rFonts w:ascii="Arial" w:cs="Arial" w:eastAsia="Arial" w:hAnsi="Arial"/>
          <w:color w:val="111111"/>
          <w:sz w:val="21"/>
          <w:szCs w:val="21"/>
        </w:rPr>
        <w:t xml:space="preserve">Daily returns are computed as simple percentage changes between consecutive closing prices. The returns series forms the input to all downstream risk calculations.</w:t>
      </w:r>
    </w:p>
    <w:p>
      <w:pPr>
        <w:pStyle w:val="Heading2"/>
        <w:spacing w:after="80" w:before="280"/>
      </w:pPr>
      <w:r>
        <w:rPr>
          <w:rFonts w:ascii="Arial" w:cs="Arial" w:eastAsia="Arial" w:hAnsi="Arial"/>
          <w:b/>
          <w:bCs/>
          <w:color w:val="1A2B4A"/>
          <w:sz w:val="24"/>
          <w:szCs w:val="24"/>
        </w:rPr>
        <w:t xml:space="preserve">4.2. Volatility</w:t>
      </w:r>
    </w:p>
    <w:p>
      <w:pPr>
        <w:spacing w:after="100" w:before="60"/>
      </w:pPr>
      <w:r>
        <w:rPr>
          <w:rFonts w:ascii="Arial" w:cs="Arial" w:eastAsia="Arial" w:hAnsi="Arial"/>
          <w:color w:val="111111"/>
          <w:sz w:val="21"/>
          <w:szCs w:val="21"/>
        </w:rPr>
        <w:t xml:space="preserve">Historical volatility is computed as the annualised standard deviation of the daily returns series. Annualisation applies the standard square-root-of-time scaling: daily standard deviation × √252, where 252 is the conventional number of trading days per year. This is the industry-standard measure for historical volatility in equity markets.</w:t>
      </w:r>
    </w:p>
    <w:p>
      <w:pPr>
        <w:pStyle w:val="Heading2"/>
        <w:spacing w:after="80" w:before="280"/>
      </w:pPr>
      <w:r>
        <w:rPr>
          <w:rFonts w:ascii="Arial" w:cs="Arial" w:eastAsia="Arial" w:hAnsi="Arial"/>
          <w:b/>
          <w:bCs/>
          <w:color w:val="1A2B4A"/>
          <w:sz w:val="24"/>
          <w:szCs w:val="24"/>
        </w:rPr>
        <w:t xml:space="preserve">4.3. Sharpe Ratio</w:t>
      </w:r>
    </w:p>
    <w:p>
      <w:pPr>
        <w:spacing w:after="100" w:before="60"/>
      </w:pPr>
      <w:r>
        <w:rPr>
          <w:rFonts w:ascii="Arial" w:cs="Arial" w:eastAsia="Arial" w:hAnsi="Arial"/>
          <w:color w:val="111111"/>
          <w:sz w:val="21"/>
          <w:szCs w:val="21"/>
        </w:rPr>
        <w:t xml:space="preserve">The Sharpe ratio measures risk-adjusted return: the excess return over the risk-free rate divided by the portfolio's standard deviation. QuantBloom computes annualised Sharpe ratio using the daily returns series and a configurable risk-free rate benchmark. This metric is central to comparing investment strategies on a risk-adjusted basis and is a standard output of any institutional risk reporting system.</w:t>
      </w:r>
    </w:p>
    <w:p>
      <w:pPr>
        <w:pStyle w:val="Heading2"/>
        <w:spacing w:after="80" w:before="280"/>
      </w:pPr>
      <w:r>
        <w:rPr>
          <w:rFonts w:ascii="Arial" w:cs="Arial" w:eastAsia="Arial" w:hAnsi="Arial"/>
          <w:b/>
          <w:bCs/>
          <w:color w:val="1A2B4A"/>
          <w:sz w:val="24"/>
          <w:szCs w:val="24"/>
        </w:rPr>
        <w:t xml:space="preserve">4.4. Value at Risk (VaR)</w:t>
      </w:r>
    </w:p>
    <w:p>
      <w:pPr>
        <w:spacing w:after="100" w:before="60"/>
      </w:pPr>
      <w:r>
        <w:rPr>
          <w:rFonts w:ascii="Arial" w:cs="Arial" w:eastAsia="Arial" w:hAnsi="Arial"/>
          <w:color w:val="111111"/>
          <w:sz w:val="21"/>
          <w:szCs w:val="21"/>
        </w:rPr>
        <w:t xml:space="preserve">VaR quantifies the maximum expected loss over a given time horizon at a specified confidence level. QuantBloom implements the historical simulation method at both 95% and 99% confidence levels, using the empirical distribution of daily returns rather than a parametric assumption. This is the most widely adopted approach for single-asset VaR estimation in practice because it makes no distributional assumptions and naturally captures fat tails in the return distribution.</w:t>
      </w:r>
    </w:p>
    <w:p>
      <w:pPr>
        <w:pStyle w:val="Heading2"/>
        <w:spacing w:after="80" w:before="280"/>
      </w:pPr>
      <w:r>
        <w:rPr>
          <w:rFonts w:ascii="Arial" w:cs="Arial" w:eastAsia="Arial" w:hAnsi="Arial"/>
          <w:b/>
          <w:bCs/>
          <w:color w:val="1A2B4A"/>
          <w:sz w:val="24"/>
          <w:szCs w:val="24"/>
        </w:rPr>
        <w:t xml:space="preserve">4.5. Expected Shortfall (CVaR)</w:t>
      </w:r>
    </w:p>
    <w:p>
      <w:pPr>
        <w:spacing w:after="100" w:before="60"/>
      </w:pPr>
      <w:r>
        <w:rPr>
          <w:rFonts w:ascii="Arial" w:cs="Arial" w:eastAsia="Arial" w:hAnsi="Arial"/>
          <w:color w:val="111111"/>
          <w:sz w:val="21"/>
          <w:szCs w:val="21"/>
        </w:rPr>
        <w:t xml:space="preserve">Expected Shortfall (also called Conditional VaR or CVaR) corrects for a known limitation of VaR: VaR tells you the threshold loss at a confidence level but says nothing about the magnitude of losses beyond that threshold. CVaR computes the expected loss conditional on the loss exceeding the VaR level — equivalently, the mean of the worst (1 − confidence) fraction of outcomes. CVaR is a coherent risk measure and is now required by the Basel III/IV regulatory framework for market risk capital calculations.</w:t>
      </w:r>
    </w:p>
    <w:p>
      <w:pPr>
        <w:pStyle w:val="Heading2"/>
        <w:spacing w:after="80" w:before="280"/>
      </w:pPr>
      <w:r>
        <w:rPr>
          <w:rFonts w:ascii="Arial" w:cs="Arial" w:eastAsia="Arial" w:hAnsi="Arial"/>
          <w:b/>
          <w:bCs/>
          <w:color w:val="1A2B4A"/>
          <w:sz w:val="24"/>
          <w:szCs w:val="24"/>
        </w:rPr>
        <w:t xml:space="preserve">4.6. Maximum Drawdown</w:t>
      </w:r>
    </w:p>
    <w:p>
      <w:pPr>
        <w:spacing w:after="100" w:before="60"/>
      </w:pPr>
      <w:r>
        <w:rPr>
          <w:rFonts w:ascii="Arial" w:cs="Arial" w:eastAsia="Arial" w:hAnsi="Arial"/>
          <w:color w:val="111111"/>
          <w:sz w:val="21"/>
          <w:szCs w:val="21"/>
        </w:rPr>
        <w:t xml:space="preserve">Maximum drawdown measures the largest peak-to-trough decline in cumulative portfolio value over the measurement period. It is a direct measure of the worst observed loss an investor could have experienced by entering at the peak and exiting at the trough. Alongside volatility and Sharpe ratio, it is one of the three metrics most commonly cited in hedge fund investor presentations.</w:t>
      </w:r>
    </w:p>
    <w:p>
      <w:pPr>
        <w:pStyle w:val="Heading2"/>
        <w:spacing w:after="80" w:before="280"/>
      </w:pPr>
      <w:r>
        <w:rPr>
          <w:rFonts w:ascii="Arial" w:cs="Arial" w:eastAsia="Arial" w:hAnsi="Arial"/>
          <w:b/>
          <w:bCs/>
          <w:color w:val="1A2B4A"/>
          <w:sz w:val="24"/>
          <w:szCs w:val="24"/>
        </w:rPr>
        <w:t xml:space="preserve">4.7. Production Validation</w:t>
      </w:r>
    </w:p>
    <w:p>
      <w:pPr>
        <w:spacing w:after="100" w:before="60"/>
      </w:pPr>
      <w:r>
        <w:rPr>
          <w:rFonts w:ascii="Arial" w:cs="Arial" w:eastAsia="Arial" w:hAnsi="Arial"/>
          <w:color w:val="111111"/>
          <w:sz w:val="21"/>
          <w:szCs w:val="21"/>
        </w:rPr>
        <w:t xml:space="preserve">All risk analytics endpoints have been validated against live market data. Apple (AAPL) was used as the primary validation asset, with calculated metrics confirmed against publicly available risk data from Bloomberg and Refinitiv. Zod schema validation enforces parameter bounds on all analytics requests, and date coercion ensures consistent input handling across client environments.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4C2BC" w:sz="1"/>
              <w:left w:val="single" w:color="C4C2BC" w:sz="1"/>
              <w:bottom w:val="single" w:color="C4C2BC" w:sz="1"/>
              <w:right w:val="single" w:color="C4C2BC" w:sz="1"/>
            </w:tcBorders>
            <w:shd w:fill="1A2B4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Metric</w:t>
            </w:r>
          </w:p>
        </w:tc>
        <w:tc>
          <w:tcPr>
            <w:tcW w:type="dxa" w:w="3000"/>
            <w:tcBorders>
              <w:top w:val="single" w:color="C4C2BC" w:sz="1"/>
              <w:left w:val="single" w:color="C4C2BC" w:sz="1"/>
              <w:bottom w:val="single" w:color="C4C2BC" w:sz="1"/>
              <w:right w:val="single" w:color="C4C2BC" w:sz="1"/>
            </w:tcBorders>
            <w:shd w:fill="1A2B4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Method</w:t>
            </w:r>
          </w:p>
        </w:tc>
        <w:tc>
          <w:tcPr>
            <w:tcW w:type="dxa" w:w="3360"/>
            <w:tcBorders>
              <w:top w:val="single" w:color="C4C2BC" w:sz="1"/>
              <w:left w:val="single" w:color="C4C2BC" w:sz="1"/>
              <w:bottom w:val="single" w:color="C4C2BC" w:sz="1"/>
              <w:right w:val="single" w:color="C4C2BC" w:sz="1"/>
            </w:tcBorders>
            <w:shd w:fill="1A2B4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Industry Standard?</w:t>
            </w:r>
          </w:p>
        </w:tc>
      </w:tr>
      <w:tr>
        <w:tc>
          <w:tcPr>
            <w:tcW w:type="dxa" w:w="3000"/>
            <w:tcBorders>
              <w:top w:val="single" w:color="C4C2BC" w:sz="1"/>
              <w:left w:val="single" w:color="C4C2BC" w:sz="1"/>
              <w:bottom w:val="single" w:color="C4C2BC" w:sz="1"/>
              <w:right w:val="single" w:color="C4C2B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9"/>
                <w:szCs w:val="19"/>
              </w:rPr>
              <w:t xml:space="preserve">Annualised volatility</w:t>
            </w:r>
          </w:p>
        </w:tc>
        <w:tc>
          <w:tcPr>
            <w:tcW w:type="dxa" w:w="3000"/>
            <w:tcBorders>
              <w:top w:val="single" w:color="C4C2BC" w:sz="1"/>
              <w:left w:val="single" w:color="C4C2BC" w:sz="1"/>
              <w:bottom w:val="single" w:color="C4C2BC" w:sz="1"/>
              <w:right w:val="single" w:color="C4C2B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Std dev × √252</w:t>
            </w:r>
          </w:p>
        </w:tc>
        <w:tc>
          <w:tcPr>
            <w:tcW w:type="dxa" w:w="3360"/>
            <w:tcBorders>
              <w:top w:val="single" w:color="C4C2BC" w:sz="1"/>
              <w:left w:val="single" w:color="C4C2BC" w:sz="1"/>
              <w:bottom w:val="single" w:color="C4C2BC" w:sz="1"/>
              <w:right w:val="single" w:color="C4C2B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Yes</w:t>
            </w:r>
          </w:p>
        </w:tc>
      </w:tr>
      <w:tr>
        <w:tc>
          <w:tcPr>
            <w:tcW w:type="dxa" w:w="3000"/>
            <w:tcBorders>
              <w:top w:val="single" w:color="C4C2BC" w:sz="1"/>
              <w:left w:val="single" w:color="C4C2BC" w:sz="1"/>
              <w:bottom w:val="single" w:color="C4C2BC" w:sz="1"/>
              <w:right w:val="single" w:color="C4C2BC" w:sz="1"/>
            </w:tcBorders>
            <w:shd w:fill="F1EFE8" w:val="clear"/>
            <w:tcMar>
              <w:top w:type="dxa" w:w="80"/>
              <w:left w:type="dxa" w:w="120"/>
              <w:bottom w:type="dxa" w:w="80"/>
              <w:right w:type="dxa" w:w="120"/>
            </w:tcMar>
          </w:tcPr>
          <w:p>
            <w:pPr>
              <w:jc w:val="left"/>
            </w:pPr>
            <w:r>
              <w:rPr>
                <w:rFonts w:ascii="Arial" w:cs="Arial" w:eastAsia="Arial" w:hAnsi="Arial"/>
                <w:b w:val="false"/>
                <w:bCs w:val="false"/>
                <w:color w:val="111111"/>
                <w:sz w:val="19"/>
                <w:szCs w:val="19"/>
              </w:rPr>
              <w:t xml:space="preserve">Sharpe ratio</w:t>
            </w:r>
          </w:p>
        </w:tc>
        <w:tc>
          <w:tcPr>
            <w:tcW w:type="dxa" w:w="3000"/>
            <w:tcBorders>
              <w:top w:val="single" w:color="C4C2BC" w:sz="1"/>
              <w:left w:val="single" w:color="C4C2BC" w:sz="1"/>
              <w:bottom w:val="single" w:color="C4C2BC" w:sz="1"/>
              <w:right w:val="single" w:color="C4C2BC" w:sz="1"/>
            </w:tcBorders>
            <w:shd w:fill="F1EFE8"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Annualised excess return / annualised std dev</w:t>
            </w:r>
          </w:p>
        </w:tc>
        <w:tc>
          <w:tcPr>
            <w:tcW w:type="dxa" w:w="3360"/>
            <w:tcBorders>
              <w:top w:val="single" w:color="C4C2BC" w:sz="1"/>
              <w:left w:val="single" w:color="C4C2BC" w:sz="1"/>
              <w:bottom w:val="single" w:color="C4C2BC" w:sz="1"/>
              <w:right w:val="single" w:color="C4C2BC" w:sz="1"/>
            </w:tcBorders>
            <w:shd w:fill="F1EFE8"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Yes</w:t>
            </w:r>
          </w:p>
        </w:tc>
      </w:tr>
      <w:tr>
        <w:tc>
          <w:tcPr>
            <w:tcW w:type="dxa" w:w="3000"/>
            <w:tcBorders>
              <w:top w:val="single" w:color="C4C2BC" w:sz="1"/>
              <w:left w:val="single" w:color="C4C2BC" w:sz="1"/>
              <w:bottom w:val="single" w:color="C4C2BC" w:sz="1"/>
              <w:right w:val="single" w:color="C4C2B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9"/>
                <w:szCs w:val="19"/>
              </w:rPr>
              <w:t xml:space="preserve">VaR (95%, 99%)</w:t>
            </w:r>
          </w:p>
        </w:tc>
        <w:tc>
          <w:tcPr>
            <w:tcW w:type="dxa" w:w="3000"/>
            <w:tcBorders>
              <w:top w:val="single" w:color="C4C2BC" w:sz="1"/>
              <w:left w:val="single" w:color="C4C2BC" w:sz="1"/>
              <w:bottom w:val="single" w:color="C4C2BC" w:sz="1"/>
              <w:right w:val="single" w:color="C4C2B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Historical simulation (empirical percentile)</w:t>
            </w:r>
          </w:p>
        </w:tc>
        <w:tc>
          <w:tcPr>
            <w:tcW w:type="dxa" w:w="3360"/>
            <w:tcBorders>
              <w:top w:val="single" w:color="C4C2BC" w:sz="1"/>
              <w:left w:val="single" w:color="C4C2BC" w:sz="1"/>
              <w:bottom w:val="single" w:color="C4C2BC" w:sz="1"/>
              <w:right w:val="single" w:color="C4C2B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Yes — Basel III</w:t>
            </w:r>
          </w:p>
        </w:tc>
      </w:tr>
      <w:tr>
        <w:tc>
          <w:tcPr>
            <w:tcW w:type="dxa" w:w="3000"/>
            <w:tcBorders>
              <w:top w:val="single" w:color="C4C2BC" w:sz="1"/>
              <w:left w:val="single" w:color="C4C2BC" w:sz="1"/>
              <w:bottom w:val="single" w:color="C4C2BC" w:sz="1"/>
              <w:right w:val="single" w:color="C4C2BC" w:sz="1"/>
            </w:tcBorders>
            <w:shd w:fill="F1EFE8" w:val="clear"/>
            <w:tcMar>
              <w:top w:type="dxa" w:w="80"/>
              <w:left w:type="dxa" w:w="120"/>
              <w:bottom w:type="dxa" w:w="80"/>
              <w:right w:type="dxa" w:w="120"/>
            </w:tcMar>
          </w:tcPr>
          <w:p>
            <w:pPr>
              <w:jc w:val="left"/>
            </w:pPr>
            <w:r>
              <w:rPr>
                <w:rFonts w:ascii="Arial" w:cs="Arial" w:eastAsia="Arial" w:hAnsi="Arial"/>
                <w:b w:val="false"/>
                <w:bCs w:val="false"/>
                <w:color w:val="111111"/>
                <w:sz w:val="19"/>
                <w:szCs w:val="19"/>
              </w:rPr>
              <w:t xml:space="preserve">CVaR / Expected Shortfall</w:t>
            </w:r>
          </w:p>
        </w:tc>
        <w:tc>
          <w:tcPr>
            <w:tcW w:type="dxa" w:w="3000"/>
            <w:tcBorders>
              <w:top w:val="single" w:color="C4C2BC" w:sz="1"/>
              <w:left w:val="single" w:color="C4C2BC" w:sz="1"/>
              <w:bottom w:val="single" w:color="C4C2BC" w:sz="1"/>
              <w:right w:val="single" w:color="C4C2BC" w:sz="1"/>
            </w:tcBorders>
            <w:shd w:fill="F1EFE8"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Mean of tail losses beyond VaR threshold</w:t>
            </w:r>
          </w:p>
        </w:tc>
        <w:tc>
          <w:tcPr>
            <w:tcW w:type="dxa" w:w="3360"/>
            <w:tcBorders>
              <w:top w:val="single" w:color="C4C2BC" w:sz="1"/>
              <w:left w:val="single" w:color="C4C2BC" w:sz="1"/>
              <w:bottom w:val="single" w:color="C4C2BC" w:sz="1"/>
              <w:right w:val="single" w:color="C4C2BC" w:sz="1"/>
            </w:tcBorders>
            <w:shd w:fill="F1EFE8"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Yes — Basel III/IV</w:t>
            </w:r>
          </w:p>
        </w:tc>
      </w:tr>
      <w:tr>
        <w:tc>
          <w:tcPr>
            <w:tcW w:type="dxa" w:w="3000"/>
            <w:tcBorders>
              <w:top w:val="single" w:color="C4C2BC" w:sz="1"/>
              <w:left w:val="single" w:color="C4C2BC" w:sz="1"/>
              <w:bottom w:val="single" w:color="C4C2BC" w:sz="1"/>
              <w:right w:val="single" w:color="C4C2B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9"/>
                <w:szCs w:val="19"/>
              </w:rPr>
              <w:t xml:space="preserve">Maximum drawdown</w:t>
            </w:r>
          </w:p>
        </w:tc>
        <w:tc>
          <w:tcPr>
            <w:tcW w:type="dxa" w:w="3000"/>
            <w:tcBorders>
              <w:top w:val="single" w:color="C4C2BC" w:sz="1"/>
              <w:left w:val="single" w:color="C4C2BC" w:sz="1"/>
              <w:bottom w:val="single" w:color="C4C2BC" w:sz="1"/>
              <w:right w:val="single" w:color="C4C2B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Peak-to-trough of cumulative returns</w:t>
            </w:r>
          </w:p>
        </w:tc>
        <w:tc>
          <w:tcPr>
            <w:tcW w:type="dxa" w:w="3360"/>
            <w:tcBorders>
              <w:top w:val="single" w:color="C4C2BC" w:sz="1"/>
              <w:left w:val="single" w:color="C4C2BC" w:sz="1"/>
              <w:bottom w:val="single" w:color="C4C2BC" w:sz="1"/>
              <w:right w:val="single" w:color="C4C2B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Yes</w:t>
            </w:r>
          </w:p>
        </w:tc>
      </w:tr>
    </w:tbl>
    <w:p>
      <w:pPr>
        <w:spacing w:after="60" w:before="60"/>
      </w:pPr>
    </w:p>
    <w:p>
      <w:pPr>
        <w:pStyle w:val="Heading1"/>
        <w:spacing w:after="80" w:before="420"/>
      </w:pPr>
      <w:r>
        <w:rPr>
          <w:rFonts w:ascii="Arial" w:cs="Arial" w:eastAsia="Arial" w:hAnsi="Arial"/>
          <w:b/>
          <w:bCs/>
          <w:color w:val="1A2B4A"/>
          <w:sz w:val="30"/>
          <w:szCs w:val="30"/>
        </w:rPr>
        <w:t xml:space="preserve">5. Design Decision: Statistical Methods Before Machine Learning</w:t>
      </w:r>
    </w:p>
    <w:p>
      <w:pPr>
        <w:pBdr>
          <w:bottom w:val="single" w:color="B85C00" w:sz="6" w:space="1"/>
        </w:pBdr>
        <w:spacing w:after="160" w:before="0"/>
      </w:pPr>
    </w:p>
    <w:p>
      <w:pPr>
        <w:spacing w:after="100" w:before="60"/>
      </w:pPr>
      <w:r>
        <w:rPr>
          <w:rFonts w:ascii="Arial" w:cs="Arial" w:eastAsia="Arial" w:hAnsi="Arial"/>
          <w:color w:val="111111"/>
          <w:sz w:val="21"/>
          <w:szCs w:val="21"/>
        </w:rPr>
        <w:t xml:space="preserve">QuantBloom currently deploys zero machine learning models. All analytics rely on established statistical and mathematical methods. This was a deliberate architectural decision, not a capability limitation.</w:t>
      </w:r>
    </w:p>
    <w:p>
      <w:pPr>
        <w:pStyle w:val="Heading2"/>
        <w:spacing w:after="80" w:before="280"/>
      </w:pPr>
      <w:r>
        <w:rPr>
          <w:rFonts w:ascii="Arial" w:cs="Arial" w:eastAsia="Arial" w:hAnsi="Arial"/>
          <w:b/>
          <w:bCs/>
          <w:color w:val="1A2B4A"/>
          <w:sz w:val="24"/>
          <w:szCs w:val="24"/>
        </w:rPr>
        <w:t xml:space="preserve">5.1. Rationale</w:t>
      </w:r>
    </w:p>
    <w:p>
      <w:pPr>
        <w:pStyle w:val="ListParagraph"/>
        <w:numPr>
          <w:ilvl w:val="0"/>
          <w:numId w:val="2"/>
        </w:numPr>
        <w:spacing w:after="40" w:before="40"/>
      </w:pPr>
      <w:r>
        <w:rPr>
          <w:rFonts w:ascii="Arial" w:cs="Arial" w:eastAsia="Arial" w:hAnsi="Arial"/>
          <w:b/>
          <w:bCs/>
          <w:color w:val="1A2B4A"/>
          <w:sz w:val="21"/>
          <w:szCs w:val="21"/>
        </w:rPr>
        <w:t xml:space="preserve">Accuracy first: </w:t>
      </w:r>
      <w:r>
        <w:rPr>
          <w:rFonts w:ascii="Arial" w:cs="Arial" w:eastAsia="Arial" w:hAnsi="Arial"/>
          <w:color w:val="111111"/>
          <w:sz w:val="21"/>
          <w:szCs w:val="21"/>
        </w:rPr>
        <w:t xml:space="preserve">Statistical methods (VaR, Sharpe, volatility) have well-understood validation procedures and established benchmarks. A production ML model producing plausible-looking but wrong risk estimates would be more dangerous than a correct statistical estimate, particularly in financial applications where bad risk numbers can cause direct financial harm.</w:t>
      </w:r>
    </w:p>
    <w:p>
      <w:pPr>
        <w:pStyle w:val="ListParagraph"/>
        <w:numPr>
          <w:ilvl w:val="0"/>
          <w:numId w:val="2"/>
        </w:numPr>
        <w:spacing w:after="40" w:before="40"/>
      </w:pPr>
      <w:r>
        <w:rPr>
          <w:rFonts w:ascii="Arial" w:cs="Arial" w:eastAsia="Arial" w:hAnsi="Arial"/>
          <w:b/>
          <w:bCs/>
          <w:color w:val="1A2B4A"/>
          <w:sz w:val="21"/>
          <w:szCs w:val="21"/>
        </w:rPr>
        <w:t xml:space="preserve">Data foundation first: </w:t>
      </w:r>
      <w:r>
        <w:rPr>
          <w:rFonts w:ascii="Arial" w:cs="Arial" w:eastAsia="Arial" w:hAnsi="Arial"/>
          <w:color w:val="111111"/>
          <w:sz w:val="21"/>
          <w:szCs w:val="21"/>
        </w:rPr>
        <w:t xml:space="preserve">A trained ranker or prediction model requires labelled outcomes — which predictions were correct, which portfolio allocations performed well. The historical data pipeline is building that corpus. Deploying ML before the training data exists inverts the correct engineering order.</w:t>
      </w:r>
    </w:p>
    <w:p>
      <w:pPr>
        <w:pStyle w:val="ListParagraph"/>
        <w:numPr>
          <w:ilvl w:val="0"/>
          <w:numId w:val="2"/>
        </w:numPr>
        <w:spacing w:after="40" w:before="40"/>
      </w:pPr>
      <w:r>
        <w:rPr>
          <w:rFonts w:ascii="Arial" w:cs="Arial" w:eastAsia="Arial" w:hAnsi="Arial"/>
          <w:b/>
          <w:bCs/>
          <w:color w:val="1A2B4A"/>
          <w:sz w:val="21"/>
          <w:szCs w:val="21"/>
        </w:rPr>
        <w:t xml:space="preserve">Interpretability: </w:t>
      </w:r>
      <w:r>
        <w:rPr>
          <w:rFonts w:ascii="Arial" w:cs="Arial" w:eastAsia="Arial" w:hAnsi="Arial"/>
          <w:color w:val="111111"/>
          <w:sz w:val="21"/>
          <w:szCs w:val="21"/>
        </w:rPr>
        <w:t xml:space="preserve">A Sharpe ratio of 1.4 has a precise mathematical definition that any analyst can verify. An ML model output of 'buy signal: 0.73' does not. For a platform aimed at professional users making real financial decisions, interpretability is not a nice-to-have.</w:t>
      </w:r>
    </w:p>
    <w:p>
      <w:pPr>
        <w:pStyle w:val="ListParagraph"/>
        <w:numPr>
          <w:ilvl w:val="0"/>
          <w:numId w:val="2"/>
        </w:numPr>
        <w:spacing w:after="40" w:before="40"/>
      </w:pPr>
      <w:r>
        <w:rPr>
          <w:rFonts w:ascii="Arial" w:cs="Arial" w:eastAsia="Arial" w:hAnsi="Arial"/>
          <w:b/>
          <w:bCs/>
          <w:color w:val="1A2B4A"/>
          <w:sz w:val="21"/>
          <w:szCs w:val="21"/>
        </w:rPr>
        <w:t xml:space="preserve">Infrastructure stability: </w:t>
      </w:r>
      <w:r>
        <w:rPr>
          <w:rFonts w:ascii="Arial" w:cs="Arial" w:eastAsia="Arial" w:hAnsi="Arial"/>
          <w:color w:val="111111"/>
          <w:sz w:val="21"/>
          <w:szCs w:val="21"/>
        </w:rPr>
        <w:t xml:space="preserve">ML serving infrastructure (model versioning, inference endpoints, retraining pipelines) adds significant complexity. Validating core platform stability before adding that layer is standard engineering practice.</w:t>
      </w:r>
    </w:p>
    <w:p>
      <w:pPr>
        <w:pStyle w:val="ListParagraph"/>
        <w:numPr>
          <w:ilvl w:val="0"/>
          <w:numId w:val="2"/>
        </w:numPr>
        <w:spacing w:after="40" w:before="40"/>
      </w:pPr>
      <w:r>
        <w:rPr>
          <w:rFonts w:ascii="Arial" w:cs="Arial" w:eastAsia="Arial" w:hAnsi="Arial"/>
          <w:b/>
          <w:bCs/>
          <w:color w:val="1A2B4A"/>
          <w:sz w:val="21"/>
          <w:szCs w:val="21"/>
        </w:rPr>
        <w:t xml:space="preserve">Regulatory clarity: </w:t>
      </w:r>
      <w:r>
        <w:rPr>
          <w:rFonts w:ascii="Arial" w:cs="Arial" w:eastAsia="Arial" w:hAnsi="Arial"/>
          <w:color w:val="111111"/>
          <w:sz w:val="21"/>
          <w:szCs w:val="21"/>
        </w:rPr>
        <w:t xml:space="preserve">Statistical risk metrics have established compliance pathways under MiFID II, Basel III, and US broker-dealer regulation. ML-generated recommendations face a substantially more complex regulatory landscape, particularly around explainability requirements.</w:t>
      </w:r>
    </w:p>
    <w:p>
      <w:pPr>
        <w:pStyle w:val="Heading2"/>
        <w:spacing w:after="80" w:before="280"/>
      </w:pPr>
      <w:r>
        <w:rPr>
          <w:rFonts w:ascii="Arial" w:cs="Arial" w:eastAsia="Arial" w:hAnsi="Arial"/>
          <w:b/>
          <w:bCs/>
          <w:color w:val="1A2B4A"/>
          <w:sz w:val="24"/>
          <w:szCs w:val="24"/>
        </w:rPr>
        <w:t xml:space="preserve">5.2. ML Integration Roadmap</w:t>
      </w:r>
    </w:p>
    <w:p>
      <w:pPr>
        <w:spacing w:after="100" w:before="60"/>
      </w:pPr>
      <w:r>
        <w:rPr>
          <w:rFonts w:ascii="Arial" w:cs="Arial" w:eastAsia="Arial" w:hAnsi="Arial"/>
          <w:color w:val="111111"/>
          <w:sz w:val="21"/>
          <w:szCs w:val="21"/>
        </w:rPr>
        <w:t xml:space="preserve">The platform's architecture supports ML integration at five points once the prerequisite conditions are met:</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4C2BC" w:sz="1"/>
              <w:left w:val="single" w:color="C4C2BC" w:sz="1"/>
              <w:bottom w:val="single" w:color="C4C2BC" w:sz="1"/>
              <w:right w:val="single" w:color="C4C2BC" w:sz="1"/>
            </w:tcBorders>
            <w:shd w:fill="1A2B4A" w:val="clear"/>
            <w:tcMar>
              <w:top w:type="dxa" w:w="80"/>
              <w:left w:type="dxa" w:w="120"/>
              <w:bottom w:type="dxa" w:w="80"/>
              <w:right w:type="dxa" w:w="120"/>
            </w:tcMar>
          </w:tcPr>
          <w:p>
            <w:r>
              <w:rPr>
                <w:rFonts w:ascii="Arial" w:cs="Arial" w:eastAsia="Arial" w:hAnsi="Arial"/>
                <w:b/>
                <w:bCs/>
                <w:color w:val="FFFFFF"/>
                <w:sz w:val="19"/>
                <w:szCs w:val="19"/>
              </w:rPr>
              <w:t xml:space="preserve">Capability</w:t>
            </w:r>
          </w:p>
        </w:tc>
        <w:tc>
          <w:tcPr>
            <w:tcW w:type="dxa" w:w="5760"/>
            <w:tcBorders>
              <w:top w:val="single" w:color="C4C2BC" w:sz="1"/>
              <w:left w:val="single" w:color="C4C2BC" w:sz="1"/>
              <w:bottom w:val="single" w:color="C4C2BC" w:sz="1"/>
              <w:right w:val="single" w:color="C4C2BC" w:sz="1"/>
            </w:tcBorders>
            <w:shd w:fill="1A2B4A" w:val="clear"/>
            <w:tcMar>
              <w:top w:type="dxa" w:w="80"/>
              <w:left w:type="dxa" w:w="120"/>
              <w:bottom w:type="dxa" w:w="80"/>
              <w:right w:type="dxa" w:w="120"/>
            </w:tcMar>
          </w:tcPr>
          <w:p>
            <w:r>
              <w:rPr>
                <w:rFonts w:ascii="Arial" w:cs="Arial" w:eastAsia="Arial" w:hAnsi="Arial"/>
                <w:b/>
                <w:bCs/>
                <w:color w:val="FFFFFF"/>
                <w:sz w:val="19"/>
                <w:szCs w:val="19"/>
              </w:rPr>
              <w:t xml:space="preserve">Prerequisite and Architecture Notes</w:t>
            </w:r>
          </w:p>
        </w:tc>
      </w:tr>
      <w:tr>
        <w:tc>
          <w:tcPr>
            <w:tcW w:type="dxa" w:w="3600"/>
            <w:tcBorders>
              <w:top w:val="single" w:color="C4C2BC" w:sz="1"/>
              <w:left w:val="single" w:color="C4C2BC" w:sz="1"/>
              <w:bottom w:val="single" w:color="C4C2BC" w:sz="1"/>
              <w:right w:val="single" w:color="C4C2B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111"/>
                <w:sz w:val="19"/>
                <w:szCs w:val="19"/>
              </w:rPr>
              <w:t xml:space="preserve">Price prediction (linear regression, LSTM, ARIMA, ensemble)</w:t>
            </w:r>
          </w:p>
        </w:tc>
        <w:tc>
          <w:tcPr>
            <w:tcW w:type="dxa" w:w="5760"/>
            <w:tcBorders>
              <w:top w:val="single" w:color="C4C2BC" w:sz="1"/>
              <w:left w:val="single" w:color="C4C2BC" w:sz="1"/>
              <w:bottom w:val="single" w:color="C4C2BC" w:sz="1"/>
              <w:right w:val="single" w:color="C4C2BC"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schema.ts already defines PredictionModel type. Requires historical returns corpus and validation against held-out data.</w:t>
            </w:r>
          </w:p>
        </w:tc>
      </w:tr>
      <w:tr>
        <w:tc>
          <w:tcPr>
            <w:tcW w:type="dxa" w:w="3600"/>
            <w:tcBorders>
              <w:top w:val="single" w:color="C4C2BC" w:sz="1"/>
              <w:left w:val="single" w:color="C4C2BC" w:sz="1"/>
              <w:bottom w:val="single" w:color="C4C2BC" w:sz="1"/>
              <w:right w:val="single" w:color="C4C2BC" w:sz="1"/>
            </w:tcBorders>
            <w:shd w:fill="F1EFE8" w:val="clear"/>
            <w:tcMar>
              <w:top w:type="dxa" w:w="80"/>
              <w:left w:type="dxa" w:w="120"/>
              <w:bottom w:type="dxa" w:w="80"/>
              <w:right w:type="dxa" w:w="120"/>
            </w:tcMar>
          </w:tcPr>
          <w:p>
            <w:r>
              <w:rPr>
                <w:rFonts w:ascii="Courier New" w:cs="Courier New" w:eastAsia="Courier New" w:hAnsi="Courier New"/>
                <w:b w:val="false"/>
                <w:bCs w:val="false"/>
                <w:color w:val="111111"/>
                <w:sz w:val="19"/>
                <w:szCs w:val="19"/>
              </w:rPr>
              <w:t xml:space="preserve">Market regime detection (bull / bear / sideways)</w:t>
            </w:r>
          </w:p>
        </w:tc>
        <w:tc>
          <w:tcPr>
            <w:tcW w:type="dxa" w:w="5760"/>
            <w:tcBorders>
              <w:top w:val="single" w:color="C4C2BC" w:sz="1"/>
              <w:left w:val="single" w:color="C4C2BC" w:sz="1"/>
              <w:bottom w:val="single" w:color="C4C2BC" w:sz="1"/>
              <w:right w:val="single" w:color="C4C2BC" w:sz="1"/>
            </w:tcBorders>
            <w:shd w:fill="F1EFE8" w:val="clear"/>
            <w:tcMar>
              <w:top w:type="dxa" w:w="80"/>
              <w:left w:type="dxa" w:w="120"/>
              <w:bottom w:type="dxa" w:w="80"/>
              <w:right w:type="dxa" w:w="120"/>
            </w:tcMar>
          </w:tcPr>
          <w:p>
            <w:r>
              <w:rPr>
                <w:rFonts w:ascii="Arial" w:cs="Arial" w:eastAsia="Arial" w:hAnsi="Arial"/>
                <w:b w:val="false"/>
                <w:bCs w:val="false"/>
                <w:color w:val="111111"/>
                <w:sz w:val="19"/>
                <w:szCs w:val="19"/>
              </w:rPr>
              <w:t xml:space="preserve">Classification model on rolling volatility, momentum, and volume signals. Feature engineering layer already planned.</w:t>
            </w:r>
          </w:p>
        </w:tc>
      </w:tr>
      <w:tr>
        <w:tc>
          <w:tcPr>
            <w:tcW w:type="dxa" w:w="3600"/>
            <w:tcBorders>
              <w:top w:val="single" w:color="C4C2BC" w:sz="1"/>
              <w:left w:val="single" w:color="C4C2BC" w:sz="1"/>
              <w:bottom w:val="single" w:color="C4C2BC" w:sz="1"/>
              <w:right w:val="single" w:color="C4C2B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111"/>
                <w:sz w:val="19"/>
                <w:szCs w:val="19"/>
              </w:rPr>
              <w:t xml:space="preserve">ML-enhanced VaR / volatility forecasting</w:t>
            </w:r>
          </w:p>
        </w:tc>
        <w:tc>
          <w:tcPr>
            <w:tcW w:type="dxa" w:w="5760"/>
            <w:tcBorders>
              <w:top w:val="single" w:color="C4C2BC" w:sz="1"/>
              <w:left w:val="single" w:color="C4C2BC" w:sz="1"/>
              <w:bottom w:val="single" w:color="C4C2BC" w:sz="1"/>
              <w:right w:val="single" w:color="C4C2BC"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GARCH-family models as bridge between statistical and ML approaches. Compatible with existing analytics API surface.</w:t>
            </w:r>
          </w:p>
        </w:tc>
      </w:tr>
      <w:tr>
        <w:tc>
          <w:tcPr>
            <w:tcW w:type="dxa" w:w="3600"/>
            <w:tcBorders>
              <w:top w:val="single" w:color="C4C2BC" w:sz="1"/>
              <w:left w:val="single" w:color="C4C2BC" w:sz="1"/>
              <w:bottom w:val="single" w:color="C4C2BC" w:sz="1"/>
              <w:right w:val="single" w:color="C4C2BC" w:sz="1"/>
            </w:tcBorders>
            <w:shd w:fill="F1EFE8" w:val="clear"/>
            <w:tcMar>
              <w:top w:type="dxa" w:w="80"/>
              <w:left w:type="dxa" w:w="120"/>
              <w:bottom w:type="dxa" w:w="80"/>
              <w:right w:type="dxa" w:w="120"/>
            </w:tcMar>
          </w:tcPr>
          <w:p>
            <w:r>
              <w:rPr>
                <w:rFonts w:ascii="Courier New" w:cs="Courier New" w:eastAsia="Courier New" w:hAnsi="Courier New"/>
                <w:b w:val="false"/>
                <w:bCs w:val="false"/>
                <w:color w:val="111111"/>
                <w:sz w:val="19"/>
                <w:szCs w:val="19"/>
              </w:rPr>
              <w:t xml:space="preserve">Sentiment analysis for news signals</w:t>
            </w:r>
          </w:p>
        </w:tc>
        <w:tc>
          <w:tcPr>
            <w:tcW w:type="dxa" w:w="5760"/>
            <w:tcBorders>
              <w:top w:val="single" w:color="C4C2BC" w:sz="1"/>
              <w:left w:val="single" w:color="C4C2BC" w:sz="1"/>
              <w:bottom w:val="single" w:color="C4C2BC" w:sz="1"/>
              <w:right w:val="single" w:color="C4C2BC" w:sz="1"/>
            </w:tcBorders>
            <w:shd w:fill="F1EFE8" w:val="clear"/>
            <w:tcMar>
              <w:top w:type="dxa" w:w="80"/>
              <w:left w:type="dxa" w:w="120"/>
              <w:bottom w:type="dxa" w:w="80"/>
              <w:right w:type="dxa" w:w="120"/>
            </w:tcMar>
          </w:tcPr>
          <w:p>
            <w:r>
              <w:rPr>
                <w:rFonts w:ascii="Arial" w:cs="Arial" w:eastAsia="Arial" w:hAnsi="Arial"/>
                <w:b w:val="false"/>
                <w:bCs w:val="false"/>
                <w:color w:val="111111"/>
                <w:sz w:val="19"/>
                <w:szCs w:val="19"/>
              </w:rPr>
              <w:t xml:space="preserve">NLP pipeline over news aggregation already in the system. Requires labelled sentiment corpus or pre-trained financial NLP model (FinBERT).</w:t>
            </w:r>
          </w:p>
        </w:tc>
      </w:tr>
      <w:tr>
        <w:tc>
          <w:tcPr>
            <w:tcW w:type="dxa" w:w="3600"/>
            <w:tcBorders>
              <w:top w:val="single" w:color="C4C2BC" w:sz="1"/>
              <w:left w:val="single" w:color="C4C2BC" w:sz="1"/>
              <w:bottom w:val="single" w:color="C4C2BC" w:sz="1"/>
              <w:right w:val="single" w:color="C4C2B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111"/>
                <w:sz w:val="19"/>
                <w:szCs w:val="19"/>
              </w:rPr>
              <w:t xml:space="preserve">Portfolio optimisation (Markowitz → RL)</w:t>
            </w:r>
          </w:p>
        </w:tc>
        <w:tc>
          <w:tcPr>
            <w:tcW w:type="dxa" w:w="5760"/>
            <w:tcBorders>
              <w:top w:val="single" w:color="C4C2BC" w:sz="1"/>
              <w:left w:val="single" w:color="C4C2BC" w:sz="1"/>
              <w:bottom w:val="single" w:color="C4C2BC" w:sz="1"/>
              <w:right w:val="single" w:color="C4C2BC"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Historical returns matrix available from pipeline. Reinforcement learning layer for dynamic allocation is a later-stage addition.</w:t>
            </w:r>
          </w:p>
        </w:tc>
      </w:tr>
    </w:tbl>
    <w:p>
      <w:pPr>
        <w:spacing w:after="60" w:before="60"/>
      </w:pPr>
    </w:p>
    <w:p>
      <w:pPr>
        <w:pStyle w:val="Heading1"/>
        <w:spacing w:after="80" w:before="420"/>
      </w:pPr>
      <w:r>
        <w:rPr>
          <w:rFonts w:ascii="Arial" w:cs="Arial" w:eastAsia="Arial" w:hAnsi="Arial"/>
          <w:b/>
          <w:bCs/>
          <w:color w:val="1A2B4A"/>
          <w:sz w:val="30"/>
          <w:szCs w:val="30"/>
        </w:rPr>
        <w:t xml:space="preserve">6. Engineering Challenges and Solutions</w:t>
      </w:r>
    </w:p>
    <w:p>
      <w:pPr>
        <w:pBdr>
          <w:bottom w:val="single" w:color="B85C00" w:sz="6" w:space="1"/>
        </w:pBdr>
        <w:spacing w:after="160" w:before="0"/>
      </w:pPr>
    </w:p>
    <w:p>
      <w:pPr>
        <w:pStyle w:val="Heading3"/>
        <w:spacing w:after="60" w:before="200"/>
      </w:pPr>
      <w:r>
        <w:rPr>
          <w:rFonts w:ascii="Arial" w:cs="Arial" w:eastAsia="Arial" w:hAnsi="Arial"/>
          <w:b/>
          <w:bCs/>
          <w:color w:val="B85C00"/>
          <w:sz w:val="21"/>
          <w:szCs w:val="21"/>
        </w:rPr>
        <w:t xml:space="preserve">Challenge 1: Real-Time Data Under Rate Constraints</w:t>
      </w:r>
    </w:p>
    <w:p>
      <w:pPr>
        <w:spacing w:after="100" w:before="60"/>
      </w:pPr>
      <w:r>
        <w:rPr>
          <w:rFonts w:ascii="Arial" w:cs="Arial" w:eastAsia="Arial" w:hAnsi="Arial"/>
          <w:color w:val="111111"/>
          <w:sz w:val="21"/>
          <w:szCs w:val="21"/>
        </w:rPr>
        <w:t xml:space="preserve">Balancing data freshness with API quotas while maintaining responsive UI required multi-layered caching combined with the WebSocket push model described in Section 3. Result: 90% reduction in API calls, sub-5-second quote latency.</w:t>
      </w:r>
    </w:p>
    <w:p>
      <w:pPr>
        <w:pStyle w:val="Heading3"/>
        <w:spacing w:after="60" w:before="200"/>
      </w:pPr>
      <w:r>
        <w:rPr>
          <w:rFonts w:ascii="Arial" w:cs="Arial" w:eastAsia="Arial" w:hAnsi="Arial"/>
          <w:b/>
          <w:bCs/>
          <w:color w:val="B85C00"/>
          <w:sz w:val="21"/>
          <w:szCs w:val="21"/>
        </w:rPr>
        <w:t xml:space="preserve">Challenge 2: Historical Data Volume</w:t>
      </w:r>
    </w:p>
    <w:p>
      <w:pPr>
        <w:spacing w:after="100" w:before="60"/>
      </w:pPr>
      <w:r>
        <w:rPr>
          <w:rFonts w:ascii="Arial" w:cs="Arial" w:eastAsia="Arial" w:hAnsi="Arial"/>
          <w:color w:val="111111"/>
          <w:sz w:val="21"/>
          <w:szCs w:val="21"/>
        </w:rPr>
        <w:t xml:space="preserve">Ingesting 39,758 records across 158 assets without API throttling required a batch processing architecture with configurable batch sizes, inter-call delays, UUID-keyed job management, and upsert semantics for idempotent re-runs.</w:t>
      </w:r>
    </w:p>
    <w:p>
      <w:pPr>
        <w:pStyle w:val="Heading3"/>
        <w:spacing w:after="60" w:before="200"/>
      </w:pPr>
      <w:r>
        <w:rPr>
          <w:rFonts w:ascii="Arial" w:cs="Arial" w:eastAsia="Arial" w:hAnsi="Arial"/>
          <w:b/>
          <w:bCs/>
          <w:color w:val="B85C00"/>
          <w:sz w:val="21"/>
          <w:szCs w:val="21"/>
        </w:rPr>
        <w:t xml:space="preserve">Challenge 3: UI Performance with Multi-Panel Layouts</w:t>
      </w:r>
    </w:p>
    <w:p>
      <w:pPr>
        <w:spacing w:after="100" w:before="60"/>
      </w:pPr>
      <w:r>
        <w:rPr>
          <w:rFonts w:ascii="Arial" w:cs="Arial" w:eastAsia="Arial" w:hAnsi="Arial"/>
          <w:color w:val="111111"/>
          <w:sz w:val="21"/>
          <w:szCs w:val="21"/>
        </w:rPr>
        <w:t xml:space="preserve">Maintaining 60fps rendering across multiple real-time data panels required React Grid Layout for resize operations, React Query memoisation of expensive calculations, lazy loading of off-screen panel content, and debounced search inputs.</w:t>
      </w:r>
    </w:p>
    <w:p>
      <w:pPr>
        <w:pStyle w:val="Heading3"/>
        <w:spacing w:after="60" w:before="200"/>
      </w:pPr>
      <w:r>
        <w:rPr>
          <w:rFonts w:ascii="Arial" w:cs="Arial" w:eastAsia="Arial" w:hAnsi="Arial"/>
          <w:b/>
          <w:bCs/>
          <w:color w:val="B85C00"/>
          <w:sz w:val="21"/>
          <w:szCs w:val="21"/>
        </w:rPr>
        <w:t xml:space="preserve">Challenge 4: Type Safety Across the Full Stack</w:t>
      </w:r>
    </w:p>
    <w:p>
      <w:pPr>
        <w:spacing w:after="100" w:before="60"/>
      </w:pPr>
      <w:r>
        <w:rPr>
          <w:rFonts w:ascii="Arial" w:cs="Arial" w:eastAsia="Arial" w:hAnsi="Arial"/>
          <w:color w:val="111111"/>
          <w:sz w:val="21"/>
          <w:szCs w:val="21"/>
        </w:rPr>
        <w:t xml:space="preserve">Maintaining type consistency between the React frontend, Express backend, and PostgreSQL database was addressed through a shared schema definition in shared/schema.ts consumed by all layers. Zod provides runtime validation at API boundaries; Drizzle ORM provides type-safe query construction. Result: zero schema mismatch bugs in production.</w:t>
      </w:r>
    </w:p>
    <w:p>
      <w:pPr>
        <w:pStyle w:val="Heading3"/>
        <w:spacing w:after="60" w:before="200"/>
      </w:pPr>
      <w:r>
        <w:rPr>
          <w:rFonts w:ascii="Arial" w:cs="Arial" w:eastAsia="Arial" w:hAnsi="Arial"/>
          <w:b/>
          <w:bCs/>
          <w:color w:val="B85C00"/>
          <w:sz w:val="21"/>
          <w:szCs w:val="21"/>
        </w:rPr>
        <w:t xml:space="preserve">Challenge 5: S&amp;P 500 Data Integration</w:t>
      </w:r>
    </w:p>
    <w:p>
      <w:pPr>
        <w:spacing w:after="100" w:before="60"/>
      </w:pPr>
      <w:r>
        <w:rPr>
          <w:rFonts w:ascii="Arial" w:cs="Arial" w:eastAsia="Arial" w:hAnsi="Arial"/>
          <w:color w:val="111111"/>
          <w:sz w:val="21"/>
          <w:szCs w:val="21"/>
        </w:rPr>
        <w:t xml:space="preserve">Initial integration of 503 company records failed on apostrophes and special characters in company names (e.g., McDonald's, L'Oréal). Systematic data validation with explicit character handling and comprehensive error capture resolved the issue. All 503 companies are now indexed with real-time autocomplete search.</w:t>
      </w:r>
    </w:p>
    <w:p>
      <w:pPr>
        <w:pStyle w:val="Heading3"/>
        <w:spacing w:after="60" w:before="200"/>
      </w:pPr>
      <w:r>
        <w:rPr>
          <w:rFonts w:ascii="Arial" w:cs="Arial" w:eastAsia="Arial" w:hAnsi="Arial"/>
          <w:b/>
          <w:bCs/>
          <w:color w:val="B85C00"/>
          <w:sz w:val="21"/>
          <w:szCs w:val="21"/>
        </w:rPr>
        <w:t xml:space="preserve">Challenge 6: Financial Calculation Accuracy</w:t>
      </w:r>
    </w:p>
    <w:p>
      <w:pPr>
        <w:spacing w:after="100" w:before="60"/>
      </w:pPr>
      <w:r>
        <w:rPr>
          <w:rFonts w:ascii="Arial" w:cs="Arial" w:eastAsia="Arial" w:hAnsi="Arial"/>
          <w:color w:val="111111"/>
          <w:sz w:val="21"/>
          <w:szCs w:val="21"/>
        </w:rPr>
        <w:t xml:space="preserve">Risk metric implementations were validated against known benchmarks using AAPL as the reference asset. All metrics — VaR, CVaR, Sharpe ratio, annualised volatility, maximum drawdown — produce results consistent with institutional analytics platforms within rounding tolerance.</w:t>
      </w:r>
    </w:p>
    <w:p>
      <w:pPr>
        <w:pStyle w:val="Heading1"/>
        <w:spacing w:after="80" w:before="420"/>
      </w:pPr>
      <w:r>
        <w:rPr>
          <w:rFonts w:ascii="Arial" w:cs="Arial" w:eastAsia="Arial" w:hAnsi="Arial"/>
          <w:b/>
          <w:bCs/>
          <w:color w:val="1A2B4A"/>
          <w:sz w:val="30"/>
          <w:szCs w:val="30"/>
        </w:rPr>
        <w:t xml:space="preserve">7. Outcomes and Performance Metrics</w:t>
      </w:r>
    </w:p>
    <w:p>
      <w:pPr>
        <w:pBdr>
          <w:bottom w:val="single" w:color="B85C00" w:sz="6" w:space="1"/>
        </w:pBdr>
        <w:spacing w:after="160" w:before="0"/>
      </w:pP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4C2BC" w:sz="1"/>
              <w:left w:val="single" w:color="C4C2BC" w:sz="1"/>
              <w:bottom w:val="single" w:color="C4C2BC" w:sz="1"/>
              <w:right w:val="single" w:color="C4C2BC" w:sz="1"/>
            </w:tcBorders>
            <w:shd w:fill="1A2B4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Metric</w:t>
            </w:r>
          </w:p>
        </w:tc>
        <w:tc>
          <w:tcPr>
            <w:tcW w:type="dxa" w:w="3000"/>
            <w:tcBorders>
              <w:top w:val="single" w:color="C4C2BC" w:sz="1"/>
              <w:left w:val="single" w:color="C4C2BC" w:sz="1"/>
              <w:bottom w:val="single" w:color="C4C2BC" w:sz="1"/>
              <w:right w:val="single" w:color="C4C2BC" w:sz="1"/>
            </w:tcBorders>
            <w:shd w:fill="1A2B4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Value</w:t>
            </w:r>
          </w:p>
        </w:tc>
        <w:tc>
          <w:tcPr>
            <w:tcW w:type="dxa" w:w="3360"/>
            <w:tcBorders>
              <w:top w:val="single" w:color="C4C2BC" w:sz="1"/>
              <w:left w:val="single" w:color="C4C2BC" w:sz="1"/>
              <w:bottom w:val="single" w:color="C4C2BC" w:sz="1"/>
              <w:right w:val="single" w:color="C4C2BC" w:sz="1"/>
            </w:tcBorders>
            <w:shd w:fill="1A2B4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Notes</w:t>
            </w:r>
          </w:p>
        </w:tc>
      </w:tr>
      <w:tr>
        <w:tc>
          <w:tcPr>
            <w:tcW w:type="dxa" w:w="3000"/>
            <w:tcBorders>
              <w:top w:val="single" w:color="C4C2BC" w:sz="1"/>
              <w:left w:val="single" w:color="C4C2BC" w:sz="1"/>
              <w:bottom w:val="single" w:color="C4C2BC" w:sz="1"/>
              <w:right w:val="single" w:color="C4C2B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9"/>
                <w:szCs w:val="19"/>
              </w:rPr>
              <w:t xml:space="preserve">Historical price records</w:t>
            </w:r>
          </w:p>
        </w:tc>
        <w:tc>
          <w:tcPr>
            <w:tcW w:type="dxa" w:w="3000"/>
            <w:tcBorders>
              <w:top w:val="single" w:color="C4C2BC" w:sz="1"/>
              <w:left w:val="single" w:color="C4C2BC" w:sz="1"/>
              <w:bottom w:val="single" w:color="C4C2BC" w:sz="1"/>
              <w:right w:val="single" w:color="C4C2B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39,758+</w:t>
            </w:r>
          </w:p>
        </w:tc>
        <w:tc>
          <w:tcPr>
            <w:tcW w:type="dxa" w:w="3360"/>
            <w:tcBorders>
              <w:top w:val="single" w:color="C4C2BC" w:sz="1"/>
              <w:left w:val="single" w:color="C4C2BC" w:sz="1"/>
              <w:bottom w:val="single" w:color="C4C2BC" w:sz="1"/>
              <w:right w:val="single" w:color="C4C2B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158 assets, 1-year daily OHLCV</w:t>
            </w:r>
          </w:p>
        </w:tc>
      </w:tr>
      <w:tr>
        <w:tc>
          <w:tcPr>
            <w:tcW w:type="dxa" w:w="3000"/>
            <w:tcBorders>
              <w:top w:val="single" w:color="C4C2BC" w:sz="1"/>
              <w:left w:val="single" w:color="C4C2BC" w:sz="1"/>
              <w:bottom w:val="single" w:color="C4C2BC" w:sz="1"/>
              <w:right w:val="single" w:color="C4C2BC" w:sz="1"/>
            </w:tcBorders>
            <w:shd w:fill="F1EFE8" w:val="clear"/>
            <w:tcMar>
              <w:top w:type="dxa" w:w="80"/>
              <w:left w:type="dxa" w:w="120"/>
              <w:bottom w:type="dxa" w:w="80"/>
              <w:right w:type="dxa" w:w="120"/>
            </w:tcMar>
          </w:tcPr>
          <w:p>
            <w:pPr>
              <w:jc w:val="left"/>
            </w:pPr>
            <w:r>
              <w:rPr>
                <w:rFonts w:ascii="Arial" w:cs="Arial" w:eastAsia="Arial" w:hAnsi="Arial"/>
                <w:b w:val="false"/>
                <w:bCs w:val="false"/>
                <w:color w:val="111111"/>
                <w:sz w:val="19"/>
                <w:szCs w:val="19"/>
              </w:rPr>
              <w:t xml:space="preserve">Asset universe</w:t>
            </w:r>
          </w:p>
        </w:tc>
        <w:tc>
          <w:tcPr>
            <w:tcW w:type="dxa" w:w="3000"/>
            <w:tcBorders>
              <w:top w:val="single" w:color="C4C2BC" w:sz="1"/>
              <w:left w:val="single" w:color="C4C2BC" w:sz="1"/>
              <w:bottom w:val="single" w:color="C4C2BC" w:sz="1"/>
              <w:right w:val="single" w:color="C4C2BC" w:sz="1"/>
            </w:tcBorders>
            <w:shd w:fill="F1EFE8"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418 instruments</w:t>
            </w:r>
          </w:p>
        </w:tc>
        <w:tc>
          <w:tcPr>
            <w:tcW w:type="dxa" w:w="3360"/>
            <w:tcBorders>
              <w:top w:val="single" w:color="C4C2BC" w:sz="1"/>
              <w:left w:val="single" w:color="C4C2BC" w:sz="1"/>
              <w:bottom w:val="single" w:color="C4C2BC" w:sz="1"/>
              <w:right w:val="single" w:color="C4C2BC" w:sz="1"/>
            </w:tcBorders>
            <w:shd w:fill="F1EFE8"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Equities, indices, ETFs, commodities, FX, crypto</w:t>
            </w:r>
          </w:p>
        </w:tc>
      </w:tr>
      <w:tr>
        <w:tc>
          <w:tcPr>
            <w:tcW w:type="dxa" w:w="3000"/>
            <w:tcBorders>
              <w:top w:val="single" w:color="C4C2BC" w:sz="1"/>
              <w:left w:val="single" w:color="C4C2BC" w:sz="1"/>
              <w:bottom w:val="single" w:color="C4C2BC" w:sz="1"/>
              <w:right w:val="single" w:color="C4C2B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9"/>
                <w:szCs w:val="19"/>
              </w:rPr>
              <w:t xml:space="preserve">S&amp;P 500 coverage</w:t>
            </w:r>
          </w:p>
        </w:tc>
        <w:tc>
          <w:tcPr>
            <w:tcW w:type="dxa" w:w="3000"/>
            <w:tcBorders>
              <w:top w:val="single" w:color="C4C2BC" w:sz="1"/>
              <w:left w:val="single" w:color="C4C2BC" w:sz="1"/>
              <w:bottom w:val="single" w:color="C4C2BC" w:sz="1"/>
              <w:right w:val="single" w:color="C4C2B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503 companies</w:t>
            </w:r>
          </w:p>
        </w:tc>
        <w:tc>
          <w:tcPr>
            <w:tcW w:type="dxa" w:w="3360"/>
            <w:tcBorders>
              <w:top w:val="single" w:color="C4C2BC" w:sz="1"/>
              <w:left w:val="single" w:color="C4C2BC" w:sz="1"/>
              <w:bottom w:val="single" w:color="C4C2BC" w:sz="1"/>
              <w:right w:val="single" w:color="C4C2B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With real-time fundamentals and autocomplete</w:t>
            </w:r>
          </w:p>
        </w:tc>
      </w:tr>
      <w:tr>
        <w:tc>
          <w:tcPr>
            <w:tcW w:type="dxa" w:w="3000"/>
            <w:tcBorders>
              <w:top w:val="single" w:color="C4C2BC" w:sz="1"/>
              <w:left w:val="single" w:color="C4C2BC" w:sz="1"/>
              <w:bottom w:val="single" w:color="C4C2BC" w:sz="1"/>
              <w:right w:val="single" w:color="C4C2BC" w:sz="1"/>
            </w:tcBorders>
            <w:shd w:fill="F1EFE8" w:val="clear"/>
            <w:tcMar>
              <w:top w:type="dxa" w:w="80"/>
              <w:left w:type="dxa" w:w="120"/>
              <w:bottom w:type="dxa" w:w="80"/>
              <w:right w:type="dxa" w:w="120"/>
            </w:tcMar>
          </w:tcPr>
          <w:p>
            <w:pPr>
              <w:jc w:val="left"/>
            </w:pPr>
            <w:r>
              <w:rPr>
                <w:rFonts w:ascii="Arial" w:cs="Arial" w:eastAsia="Arial" w:hAnsi="Arial"/>
                <w:b w:val="false"/>
                <w:bCs w:val="false"/>
                <w:color w:val="111111"/>
                <w:sz w:val="19"/>
                <w:szCs w:val="19"/>
              </w:rPr>
              <w:t xml:space="preserve">Quote update latency</w:t>
            </w:r>
          </w:p>
        </w:tc>
        <w:tc>
          <w:tcPr>
            <w:tcW w:type="dxa" w:w="3000"/>
            <w:tcBorders>
              <w:top w:val="single" w:color="C4C2BC" w:sz="1"/>
              <w:left w:val="single" w:color="C4C2BC" w:sz="1"/>
              <w:bottom w:val="single" w:color="C4C2BC" w:sz="1"/>
              <w:right w:val="single" w:color="C4C2BC" w:sz="1"/>
            </w:tcBorders>
            <w:shd w:fill="F1EFE8"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&lt; 5 seconds</w:t>
            </w:r>
          </w:p>
        </w:tc>
        <w:tc>
          <w:tcPr>
            <w:tcW w:type="dxa" w:w="3360"/>
            <w:tcBorders>
              <w:top w:val="single" w:color="C4C2BC" w:sz="1"/>
              <w:left w:val="single" w:color="C4C2BC" w:sz="1"/>
              <w:bottom w:val="single" w:color="C4C2BC" w:sz="1"/>
              <w:right w:val="single" w:color="C4C2BC" w:sz="1"/>
            </w:tcBorders>
            <w:shd w:fill="F1EFE8"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Via WebSocket push</w:t>
            </w:r>
          </w:p>
        </w:tc>
      </w:tr>
      <w:tr>
        <w:tc>
          <w:tcPr>
            <w:tcW w:type="dxa" w:w="3000"/>
            <w:tcBorders>
              <w:top w:val="single" w:color="C4C2BC" w:sz="1"/>
              <w:left w:val="single" w:color="C4C2BC" w:sz="1"/>
              <w:bottom w:val="single" w:color="C4C2BC" w:sz="1"/>
              <w:right w:val="single" w:color="C4C2B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9"/>
                <w:szCs w:val="19"/>
              </w:rPr>
              <w:t xml:space="preserve">API response time (analytics)</w:t>
            </w:r>
          </w:p>
        </w:tc>
        <w:tc>
          <w:tcPr>
            <w:tcW w:type="dxa" w:w="3000"/>
            <w:tcBorders>
              <w:top w:val="single" w:color="C4C2BC" w:sz="1"/>
              <w:left w:val="single" w:color="C4C2BC" w:sz="1"/>
              <w:bottom w:val="single" w:color="C4C2BC" w:sz="1"/>
              <w:right w:val="single" w:color="C4C2B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&lt; 200ms</w:t>
            </w:r>
          </w:p>
        </w:tc>
        <w:tc>
          <w:tcPr>
            <w:tcW w:type="dxa" w:w="3360"/>
            <w:tcBorders>
              <w:top w:val="single" w:color="C4C2BC" w:sz="1"/>
              <w:left w:val="single" w:color="C4C2BC" w:sz="1"/>
              <w:bottom w:val="single" w:color="C4C2BC" w:sz="1"/>
              <w:right w:val="single" w:color="C4C2B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Indexed PostgreSQL queries</w:t>
            </w:r>
          </w:p>
        </w:tc>
      </w:tr>
      <w:tr>
        <w:tc>
          <w:tcPr>
            <w:tcW w:type="dxa" w:w="3000"/>
            <w:tcBorders>
              <w:top w:val="single" w:color="C4C2BC" w:sz="1"/>
              <w:left w:val="single" w:color="C4C2BC" w:sz="1"/>
              <w:bottom w:val="single" w:color="C4C2BC" w:sz="1"/>
              <w:right w:val="single" w:color="C4C2BC" w:sz="1"/>
            </w:tcBorders>
            <w:shd w:fill="F1EFE8" w:val="clear"/>
            <w:tcMar>
              <w:top w:type="dxa" w:w="80"/>
              <w:left w:type="dxa" w:w="120"/>
              <w:bottom w:type="dxa" w:w="80"/>
              <w:right w:type="dxa" w:w="120"/>
            </w:tcMar>
          </w:tcPr>
          <w:p>
            <w:pPr>
              <w:jc w:val="left"/>
            </w:pPr>
            <w:r>
              <w:rPr>
                <w:rFonts w:ascii="Arial" w:cs="Arial" w:eastAsia="Arial" w:hAnsi="Arial"/>
                <w:b w:val="false"/>
                <w:bCs w:val="false"/>
                <w:color w:val="111111"/>
                <w:sz w:val="19"/>
                <w:szCs w:val="19"/>
              </w:rPr>
              <w:t xml:space="preserve">Cache TTL (market data)</w:t>
            </w:r>
          </w:p>
        </w:tc>
        <w:tc>
          <w:tcPr>
            <w:tcW w:type="dxa" w:w="3000"/>
            <w:tcBorders>
              <w:top w:val="single" w:color="C4C2BC" w:sz="1"/>
              <w:left w:val="single" w:color="C4C2BC" w:sz="1"/>
              <w:bottom w:val="single" w:color="C4C2BC" w:sz="1"/>
              <w:right w:val="single" w:color="C4C2BC" w:sz="1"/>
            </w:tcBorders>
            <w:shd w:fill="F1EFE8"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5 minutes</w:t>
            </w:r>
          </w:p>
        </w:tc>
        <w:tc>
          <w:tcPr>
            <w:tcW w:type="dxa" w:w="3360"/>
            <w:tcBorders>
              <w:top w:val="single" w:color="C4C2BC" w:sz="1"/>
              <w:left w:val="single" w:color="C4C2BC" w:sz="1"/>
              <w:bottom w:val="single" w:color="C4C2BC" w:sz="1"/>
              <w:right w:val="single" w:color="C4C2BC" w:sz="1"/>
            </w:tcBorders>
            <w:shd w:fill="F1EFE8"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Configurable per data type</w:t>
            </w:r>
          </w:p>
        </w:tc>
      </w:tr>
      <w:tr>
        <w:tc>
          <w:tcPr>
            <w:tcW w:type="dxa" w:w="3000"/>
            <w:tcBorders>
              <w:top w:val="single" w:color="C4C2BC" w:sz="1"/>
              <w:left w:val="single" w:color="C4C2BC" w:sz="1"/>
              <w:bottom w:val="single" w:color="C4C2BC" w:sz="1"/>
              <w:right w:val="single" w:color="C4C2B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9"/>
                <w:szCs w:val="19"/>
              </w:rPr>
              <w:t xml:space="preserve">API call reduction</w:t>
            </w:r>
          </w:p>
        </w:tc>
        <w:tc>
          <w:tcPr>
            <w:tcW w:type="dxa" w:w="3000"/>
            <w:tcBorders>
              <w:top w:val="single" w:color="C4C2BC" w:sz="1"/>
              <w:left w:val="single" w:color="C4C2BC" w:sz="1"/>
              <w:bottom w:val="single" w:color="C4C2BC" w:sz="1"/>
              <w:right w:val="single" w:color="C4C2B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~90%</w:t>
            </w:r>
          </w:p>
        </w:tc>
        <w:tc>
          <w:tcPr>
            <w:tcW w:type="dxa" w:w="3360"/>
            <w:tcBorders>
              <w:top w:val="single" w:color="C4C2BC" w:sz="1"/>
              <w:left w:val="single" w:color="C4C2BC" w:sz="1"/>
              <w:bottom w:val="single" w:color="C4C2BC" w:sz="1"/>
              <w:right w:val="single" w:color="C4C2B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WebSocket push vs. per-client polling</w:t>
            </w:r>
          </w:p>
        </w:tc>
      </w:tr>
      <w:tr>
        <w:tc>
          <w:tcPr>
            <w:tcW w:type="dxa" w:w="3000"/>
            <w:tcBorders>
              <w:top w:val="single" w:color="C4C2BC" w:sz="1"/>
              <w:left w:val="single" w:color="C4C2BC" w:sz="1"/>
              <w:bottom w:val="single" w:color="C4C2BC" w:sz="1"/>
              <w:right w:val="single" w:color="C4C2BC" w:sz="1"/>
            </w:tcBorders>
            <w:shd w:fill="F1EFE8" w:val="clear"/>
            <w:tcMar>
              <w:top w:type="dxa" w:w="80"/>
              <w:left w:type="dxa" w:w="120"/>
              <w:bottom w:type="dxa" w:w="80"/>
              <w:right w:type="dxa" w:w="120"/>
            </w:tcMar>
          </w:tcPr>
          <w:p>
            <w:pPr>
              <w:jc w:val="left"/>
            </w:pPr>
            <w:r>
              <w:rPr>
                <w:rFonts w:ascii="Arial" w:cs="Arial" w:eastAsia="Arial" w:hAnsi="Arial"/>
                <w:b w:val="false"/>
                <w:bCs w:val="false"/>
                <w:color w:val="111111"/>
                <w:sz w:val="19"/>
                <w:szCs w:val="19"/>
              </w:rPr>
              <w:t xml:space="preserve">Historical ingest rate</w:t>
            </w:r>
          </w:p>
        </w:tc>
        <w:tc>
          <w:tcPr>
            <w:tcW w:type="dxa" w:w="3000"/>
            <w:tcBorders>
              <w:top w:val="single" w:color="C4C2BC" w:sz="1"/>
              <w:left w:val="single" w:color="C4C2BC" w:sz="1"/>
              <w:bottom w:val="single" w:color="C4C2BC" w:sz="1"/>
              <w:right w:val="single" w:color="C4C2BC" w:sz="1"/>
            </w:tcBorders>
            <w:shd w:fill="F1EFE8"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~251 records/asset</w:t>
            </w:r>
          </w:p>
        </w:tc>
        <w:tc>
          <w:tcPr>
            <w:tcW w:type="dxa" w:w="3360"/>
            <w:tcBorders>
              <w:top w:val="single" w:color="C4C2BC" w:sz="1"/>
              <w:left w:val="single" w:color="C4C2BC" w:sz="1"/>
              <w:bottom w:val="single" w:color="C4C2BC" w:sz="1"/>
              <w:right w:val="single" w:color="C4C2BC" w:sz="1"/>
            </w:tcBorders>
            <w:shd w:fill="F1EFE8"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Daily trading days per year</w:t>
            </w:r>
          </w:p>
        </w:tc>
      </w:tr>
      <w:tr>
        <w:tc>
          <w:tcPr>
            <w:tcW w:type="dxa" w:w="3000"/>
            <w:tcBorders>
              <w:top w:val="single" w:color="C4C2BC" w:sz="1"/>
              <w:left w:val="single" w:color="C4C2BC" w:sz="1"/>
              <w:bottom w:val="single" w:color="C4C2BC" w:sz="1"/>
              <w:right w:val="single" w:color="C4C2B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9"/>
                <w:szCs w:val="19"/>
              </w:rPr>
              <w:t xml:space="preserve">Type coverage</w:t>
            </w:r>
          </w:p>
        </w:tc>
        <w:tc>
          <w:tcPr>
            <w:tcW w:type="dxa" w:w="3000"/>
            <w:tcBorders>
              <w:top w:val="single" w:color="C4C2BC" w:sz="1"/>
              <w:left w:val="single" w:color="C4C2BC" w:sz="1"/>
              <w:bottom w:val="single" w:color="C4C2BC" w:sz="1"/>
              <w:right w:val="single" w:color="C4C2B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100%</w:t>
            </w:r>
          </w:p>
        </w:tc>
        <w:tc>
          <w:tcPr>
            <w:tcW w:type="dxa" w:w="3360"/>
            <w:tcBorders>
              <w:top w:val="single" w:color="C4C2BC" w:sz="1"/>
              <w:left w:val="single" w:color="C4C2BC" w:sz="1"/>
              <w:bottom w:val="single" w:color="C4C2BC" w:sz="1"/>
              <w:right w:val="single" w:color="C4C2B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TypeScript across all layers</w:t>
            </w:r>
          </w:p>
        </w:tc>
      </w:tr>
      <w:tr>
        <w:tc>
          <w:tcPr>
            <w:tcW w:type="dxa" w:w="3000"/>
            <w:tcBorders>
              <w:top w:val="single" w:color="C4C2BC" w:sz="1"/>
              <w:left w:val="single" w:color="C4C2BC" w:sz="1"/>
              <w:bottom w:val="single" w:color="C4C2BC" w:sz="1"/>
              <w:right w:val="single" w:color="C4C2BC" w:sz="1"/>
            </w:tcBorders>
            <w:shd w:fill="F1EFE8" w:val="clear"/>
            <w:tcMar>
              <w:top w:type="dxa" w:w="80"/>
              <w:left w:type="dxa" w:w="120"/>
              <w:bottom w:type="dxa" w:w="80"/>
              <w:right w:type="dxa" w:w="120"/>
            </w:tcMar>
          </w:tcPr>
          <w:p>
            <w:pPr>
              <w:jc w:val="left"/>
            </w:pPr>
            <w:r>
              <w:rPr>
                <w:rFonts w:ascii="Arial" w:cs="Arial" w:eastAsia="Arial" w:hAnsi="Arial"/>
                <w:b w:val="false"/>
                <w:bCs w:val="false"/>
                <w:color w:val="111111"/>
                <w:sz w:val="19"/>
                <w:szCs w:val="19"/>
              </w:rPr>
              <w:t xml:space="preserve">Regulatory analytics</w:t>
            </w:r>
          </w:p>
        </w:tc>
        <w:tc>
          <w:tcPr>
            <w:tcW w:type="dxa" w:w="3000"/>
            <w:tcBorders>
              <w:top w:val="single" w:color="C4C2BC" w:sz="1"/>
              <w:left w:val="single" w:color="C4C2BC" w:sz="1"/>
              <w:bottom w:val="single" w:color="C4C2BC" w:sz="1"/>
              <w:right w:val="single" w:color="C4C2BC" w:sz="1"/>
            </w:tcBorders>
            <w:shd w:fill="F1EFE8"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VaR 95% &amp; 99%, CVaR, Sharpe, drawdown</w:t>
            </w:r>
          </w:p>
        </w:tc>
        <w:tc>
          <w:tcPr>
            <w:tcW w:type="dxa" w:w="3360"/>
            <w:tcBorders>
              <w:top w:val="single" w:color="C4C2BC" w:sz="1"/>
              <w:left w:val="single" w:color="C4C2BC" w:sz="1"/>
              <w:bottom w:val="single" w:color="C4C2BC" w:sz="1"/>
              <w:right w:val="single" w:color="C4C2BC" w:sz="1"/>
            </w:tcBorders>
            <w:shd w:fill="F1EFE8"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Basel III / institutional standard</w:t>
            </w:r>
          </w:p>
        </w:tc>
      </w:tr>
    </w:tbl>
    <w:p>
      <w:pPr>
        <w:spacing w:after="60" w:before="60"/>
      </w:pPr>
    </w:p>
    <w:p>
      <w:pPr>
        <w:pStyle w:val="Heading1"/>
        <w:spacing w:after="80" w:before="420"/>
      </w:pPr>
      <w:r>
        <w:rPr>
          <w:rFonts w:ascii="Arial" w:cs="Arial" w:eastAsia="Arial" w:hAnsi="Arial"/>
          <w:b/>
          <w:bCs/>
          <w:color w:val="1A2B4A"/>
          <w:sz w:val="30"/>
          <w:szCs w:val="30"/>
        </w:rPr>
        <w:t xml:space="preserve">8. Future Work</w:t>
      </w:r>
    </w:p>
    <w:p>
      <w:pPr>
        <w:pBdr>
          <w:bottom w:val="single" w:color="B85C00" w:sz="6" w:space="1"/>
        </w:pBdr>
        <w:spacing w:after="160" w:before="0"/>
      </w:pPr>
    </w:p>
    <w:p>
      <w:pPr>
        <w:spacing w:after="100" w:before="60"/>
      </w:pPr>
      <w:r>
        <w:rPr>
          <w:rFonts w:ascii="Arial" w:cs="Arial" w:eastAsia="Arial" w:hAnsi="Arial"/>
          <w:color w:val="111111"/>
          <w:sz w:val="21"/>
          <w:szCs w:val="21"/>
        </w:rPr>
        <w:t xml:space="preserve">Three development tracks are planned in priority order:</w:t>
      </w:r>
    </w:p>
    <w:p>
      <w:pPr>
        <w:pStyle w:val="ListParagraph"/>
        <w:numPr>
          <w:ilvl w:val="0"/>
          <w:numId w:val="3"/>
        </w:numPr>
        <w:spacing w:after="60" w:before="60"/>
      </w:pPr>
      <w:r>
        <w:rPr>
          <w:rFonts w:ascii="Arial" w:cs="Arial" w:eastAsia="Arial" w:hAnsi="Arial"/>
          <w:b/>
          <w:bCs/>
          <w:color w:val="1A2B4A"/>
          <w:sz w:val="21"/>
          <w:szCs w:val="21"/>
        </w:rPr>
        <w:t xml:space="preserve">ML integration: </w:t>
      </w:r>
      <w:r>
        <w:rPr>
          <w:rFonts w:ascii="Arial" w:cs="Arial" w:eastAsia="Arial" w:hAnsi="Arial"/>
          <w:color w:val="111111"/>
          <w:sz w:val="21"/>
          <w:szCs w:val="21"/>
        </w:rPr>
        <w:t xml:space="preserve">Price prediction and regime detection models once the historical data corpus reaches sufficient scale for training. The schema infrastructure, API surface, and data pipeline are already in place. Initial target: LSTM-based rolling volatility forecasting as a bridge between the existing statistical layer and full predictive modelling.</w:t>
      </w:r>
    </w:p>
    <w:p>
      <w:pPr>
        <w:pStyle w:val="ListParagraph"/>
        <w:numPr>
          <w:ilvl w:val="0"/>
          <w:numId w:val="3"/>
        </w:numPr>
        <w:spacing w:after="60" w:before="60"/>
      </w:pPr>
      <w:r>
        <w:rPr>
          <w:rFonts w:ascii="Arial" w:cs="Arial" w:eastAsia="Arial" w:hAnsi="Arial"/>
          <w:b/>
          <w:bCs/>
          <w:color w:val="1A2B4A"/>
          <w:sz w:val="21"/>
          <w:szCs w:val="21"/>
        </w:rPr>
        <w:t xml:space="preserve">Backtesting engine: </w:t>
      </w:r>
      <w:r>
        <w:rPr>
          <w:rFonts w:ascii="Arial" w:cs="Arial" w:eastAsia="Arial" w:hAnsi="Arial"/>
          <w:color w:val="111111"/>
          <w:sz w:val="21"/>
          <w:szCs w:val="21"/>
        </w:rPr>
        <w:t xml:space="preserve">A strategy backtesting module using the historical OHLCV dataset. The infrastructure (historical data pipeline, risk analytics engine, portfolio tracking) is the correct foundation. The missing piece is a trade simulation layer with transaction cost modelling.</w:t>
      </w:r>
    </w:p>
    <w:p>
      <w:pPr>
        <w:pStyle w:val="ListParagraph"/>
        <w:numPr>
          <w:ilvl w:val="0"/>
          <w:numId w:val="3"/>
        </w:numPr>
        <w:spacing w:after="60" w:before="60"/>
      </w:pPr>
      <w:r>
        <w:rPr>
          <w:rFonts w:ascii="Arial" w:cs="Arial" w:eastAsia="Arial" w:hAnsi="Arial"/>
          <w:b/>
          <w:bCs/>
          <w:color w:val="1A2B4A"/>
          <w:sz w:val="21"/>
          <w:szCs w:val="21"/>
        </w:rPr>
        <w:t xml:space="preserve">Alternative data integration: </w:t>
      </w:r>
      <w:r>
        <w:rPr>
          <w:rFonts w:ascii="Arial" w:cs="Arial" w:eastAsia="Arial" w:hAnsi="Arial"/>
          <w:color w:val="111111"/>
          <w:sz w:val="21"/>
          <w:szCs w:val="21"/>
        </w:rPr>
        <w:t xml:space="preserve">Options flow data, short interest, and news sentiment NLP. CoinGecko and Alpha Vantage integrations are already in the provider chain; structured sentiment extraction from the existing news aggregation layer is the highest-leverage near-term addition.</w:t>
      </w:r>
    </w:p>
    <w:p>
      <w:pPr>
        <w:pStyle w:val="Heading1"/>
        <w:spacing w:after="80" w:before="420"/>
      </w:pPr>
      <w:r>
        <w:rPr>
          <w:rFonts w:ascii="Arial" w:cs="Arial" w:eastAsia="Arial" w:hAnsi="Arial"/>
          <w:b/>
          <w:bCs/>
          <w:color w:val="1A2B4A"/>
          <w:sz w:val="30"/>
          <w:szCs w:val="30"/>
        </w:rPr>
        <w:t xml:space="preserve">9. Conclusion</w:t>
      </w:r>
    </w:p>
    <w:p>
      <w:pPr>
        <w:pBdr>
          <w:bottom w:val="single" w:color="B85C00" w:sz="6" w:space="1"/>
        </w:pBdr>
        <w:spacing w:after="160" w:before="0"/>
      </w:pPr>
    </w:p>
    <w:p>
      <w:pPr>
        <w:spacing w:after="100" w:before="60"/>
      </w:pPr>
      <w:r>
        <w:rPr>
          <w:rFonts w:ascii="Arial" w:cs="Arial" w:eastAsia="Arial" w:hAnsi="Arial"/>
          <w:color w:val="111111"/>
          <w:sz w:val="21"/>
          <w:szCs w:val="21"/>
        </w:rPr>
        <w:t xml:space="preserve">QuantBloom demonstrates that institutional-grade financial analytics tooling can be built using modern open web technologies at a fraction of the cost of legacy terminal platforms. The system delivers real-time market data streaming, a complete risk analytics suite meeting Basel III calculation standards, a historical data pipeline processing nearly 40,000 OHLCV records, and a professional multi-panel terminal interface — all in a browser-based application deployable on serverless infrastructure.</w:t>
      </w:r>
    </w:p>
    <w:p>
      <w:pPr>
        <w:spacing w:after="100" w:before="60"/>
      </w:pPr>
      <w:r>
        <w:rPr>
          <w:rFonts w:ascii="Arial" w:cs="Arial" w:eastAsia="Arial" w:hAnsi="Arial"/>
          <w:color w:val="111111"/>
          <w:sz w:val="21"/>
          <w:szCs w:val="21"/>
        </w:rPr>
        <w:t xml:space="preserve">The most significant engineering insight from this project is not about any individual technical component but about the correct sequencing of capability development. The decision to implement interpretable statistical methods before machine learning, to build the historical data corpus before training models, and to validate individual metrics against institutional benchmarks before integrating them into the user interface — this sequence is correct and would be correct again.</w:t>
      </w:r>
    </w:p>
    <w:p>
      <w:pPr>
        <w:spacing w:after="100" w:before="60"/>
      </w:pPr>
      <w:r>
        <w:rPr>
          <w:rFonts w:ascii="Arial" w:cs="Arial" w:eastAsia="Arial" w:hAnsi="Arial"/>
          <w:color w:val="111111"/>
          <w:sz w:val="21"/>
          <w:szCs w:val="21"/>
        </w:rPr>
        <w:t xml:space="preserve">The platform is production-ready in its current state and architecturally positioned for ML integration as the requisite training data accumulates. The gap between QuantBloom and a Bloomberg Terminal is no longer a technical gap. It is a data licensing gap and a brand trust gap — both of which are addressable over time, neither of which requires rebuilding the engineering foundation.</w:t>
      </w:r>
    </w:p>
    <w:p>
      <w:pPr>
        <w:pStyle w:val="Heading1"/>
        <w:spacing w:after="80" w:before="420"/>
      </w:pPr>
      <w:r>
        <w:rPr>
          <w:rFonts w:ascii="Arial" w:cs="Arial" w:eastAsia="Arial" w:hAnsi="Arial"/>
          <w:b/>
          <w:bCs/>
          <w:color w:val="1A2B4A"/>
          <w:sz w:val="30"/>
          <w:szCs w:val="30"/>
        </w:rPr>
        <w:t xml:space="preserve">Appendix A: Repository Structure</w:t>
      </w:r>
    </w:p>
    <w:p>
      <w:pPr>
        <w:pBdr>
          <w:bottom w:val="single" w:color="B85C00" w:sz="6" w:space="1"/>
        </w:pBdr>
        <w:spacing w:after="160" w:before="0"/>
      </w:pP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4C2BC" w:sz="1"/>
              <w:left w:val="single" w:color="C4C2BC" w:sz="1"/>
              <w:bottom w:val="single" w:color="C4C2BC" w:sz="1"/>
              <w:right w:val="single" w:color="C4C2BC" w:sz="1"/>
            </w:tcBorders>
            <w:shd w:fill="1A2B4A" w:val="clear"/>
            <w:tcMar>
              <w:top w:type="dxa" w:w="80"/>
              <w:left w:type="dxa" w:w="120"/>
              <w:bottom w:type="dxa" w:w="80"/>
              <w:right w:type="dxa" w:w="120"/>
            </w:tcMar>
          </w:tcPr>
          <w:p>
            <w:r>
              <w:rPr>
                <w:rFonts w:ascii="Arial" w:cs="Arial" w:eastAsia="Arial" w:hAnsi="Arial"/>
                <w:b/>
                <w:bCs/>
                <w:color w:val="FFFFFF"/>
                <w:sz w:val="19"/>
                <w:szCs w:val="19"/>
              </w:rPr>
              <w:t xml:space="preserve">Path</w:t>
            </w:r>
          </w:p>
        </w:tc>
        <w:tc>
          <w:tcPr>
            <w:tcW w:type="dxa" w:w="5760"/>
            <w:tcBorders>
              <w:top w:val="single" w:color="C4C2BC" w:sz="1"/>
              <w:left w:val="single" w:color="C4C2BC" w:sz="1"/>
              <w:bottom w:val="single" w:color="C4C2BC" w:sz="1"/>
              <w:right w:val="single" w:color="C4C2BC" w:sz="1"/>
            </w:tcBorders>
            <w:shd w:fill="1A2B4A" w:val="clear"/>
            <w:tcMar>
              <w:top w:type="dxa" w:w="80"/>
              <w:left w:type="dxa" w:w="120"/>
              <w:bottom w:type="dxa" w:w="80"/>
              <w:right w:type="dxa" w:w="120"/>
            </w:tcMar>
          </w:tcPr>
          <w:p>
            <w:r>
              <w:rPr>
                <w:rFonts w:ascii="Arial" w:cs="Arial" w:eastAsia="Arial" w:hAnsi="Arial"/>
                <w:b/>
                <w:bCs/>
                <w:color w:val="FFFFFF"/>
                <w:sz w:val="19"/>
                <w:szCs w:val="19"/>
              </w:rPr>
              <w:t xml:space="preserve">Contents</w:t>
            </w:r>
          </w:p>
        </w:tc>
      </w:tr>
      <w:tr>
        <w:tc>
          <w:tcPr>
            <w:tcW w:type="dxa" w:w="3600"/>
            <w:tcBorders>
              <w:top w:val="single" w:color="C4C2BC" w:sz="1"/>
              <w:left w:val="single" w:color="C4C2BC" w:sz="1"/>
              <w:bottom w:val="single" w:color="C4C2BC" w:sz="1"/>
              <w:right w:val="single" w:color="C4C2B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111"/>
                <w:sz w:val="19"/>
                <w:szCs w:val="19"/>
              </w:rPr>
              <w:t xml:space="preserve">client/src/components/</w:t>
            </w:r>
          </w:p>
        </w:tc>
        <w:tc>
          <w:tcPr>
            <w:tcW w:type="dxa" w:w="5760"/>
            <w:tcBorders>
              <w:top w:val="single" w:color="C4C2BC" w:sz="1"/>
              <w:left w:val="single" w:color="C4C2BC" w:sz="1"/>
              <w:bottom w:val="single" w:color="C4C2BC" w:sz="1"/>
              <w:right w:val="single" w:color="C4C2BC"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Terminal panel components (WatchlistPanel, ChartPanel, etc.)</w:t>
            </w:r>
          </w:p>
        </w:tc>
      </w:tr>
      <w:tr>
        <w:tc>
          <w:tcPr>
            <w:tcW w:type="dxa" w:w="3600"/>
            <w:tcBorders>
              <w:top w:val="single" w:color="C4C2BC" w:sz="1"/>
              <w:left w:val="single" w:color="C4C2BC" w:sz="1"/>
              <w:bottom w:val="single" w:color="C4C2BC" w:sz="1"/>
              <w:right w:val="single" w:color="C4C2BC" w:sz="1"/>
            </w:tcBorders>
            <w:shd w:fill="F1EFE8" w:val="clear"/>
            <w:tcMar>
              <w:top w:type="dxa" w:w="80"/>
              <w:left w:type="dxa" w:w="120"/>
              <w:bottom w:type="dxa" w:w="80"/>
              <w:right w:type="dxa" w:w="120"/>
            </w:tcMar>
          </w:tcPr>
          <w:p>
            <w:r>
              <w:rPr>
                <w:rFonts w:ascii="Courier New" w:cs="Courier New" w:eastAsia="Courier New" w:hAnsi="Courier New"/>
                <w:b w:val="false"/>
                <w:bCs w:val="false"/>
                <w:color w:val="111111"/>
                <w:sz w:val="19"/>
                <w:szCs w:val="19"/>
              </w:rPr>
              <w:t xml:space="preserve">client/src/components/BloomTerminal.tsx</w:t>
            </w:r>
          </w:p>
        </w:tc>
        <w:tc>
          <w:tcPr>
            <w:tcW w:type="dxa" w:w="5760"/>
            <w:tcBorders>
              <w:top w:val="single" w:color="C4C2BC" w:sz="1"/>
              <w:left w:val="single" w:color="C4C2BC" w:sz="1"/>
              <w:bottom w:val="single" w:color="C4C2BC" w:sz="1"/>
              <w:right w:val="single" w:color="C4C2BC" w:sz="1"/>
            </w:tcBorders>
            <w:shd w:fill="F1EFE8" w:val="clear"/>
            <w:tcMar>
              <w:top w:type="dxa" w:w="80"/>
              <w:left w:type="dxa" w:w="120"/>
              <w:bottom w:type="dxa" w:w="80"/>
              <w:right w:type="dxa" w:w="120"/>
            </w:tcMar>
          </w:tcPr>
          <w:p>
            <w:r>
              <w:rPr>
                <w:rFonts w:ascii="Arial" w:cs="Arial" w:eastAsia="Arial" w:hAnsi="Arial"/>
                <w:b w:val="false"/>
                <w:bCs w:val="false"/>
                <w:color w:val="111111"/>
                <w:sz w:val="19"/>
                <w:szCs w:val="19"/>
              </w:rPr>
              <w:t xml:space="preserve">Root orchestration component — panel layout and WebSocket</w:t>
            </w:r>
          </w:p>
        </w:tc>
      </w:tr>
      <w:tr>
        <w:tc>
          <w:tcPr>
            <w:tcW w:type="dxa" w:w="3600"/>
            <w:tcBorders>
              <w:top w:val="single" w:color="C4C2BC" w:sz="1"/>
              <w:left w:val="single" w:color="C4C2BC" w:sz="1"/>
              <w:bottom w:val="single" w:color="C4C2BC" w:sz="1"/>
              <w:right w:val="single" w:color="C4C2B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111"/>
                <w:sz w:val="19"/>
                <w:szCs w:val="19"/>
              </w:rPr>
              <w:t xml:space="preserve">server/routes.ts</w:t>
            </w:r>
          </w:p>
        </w:tc>
        <w:tc>
          <w:tcPr>
            <w:tcW w:type="dxa" w:w="5760"/>
            <w:tcBorders>
              <w:top w:val="single" w:color="C4C2BC" w:sz="1"/>
              <w:left w:val="single" w:color="C4C2BC" w:sz="1"/>
              <w:bottom w:val="single" w:color="C4C2BC" w:sz="1"/>
              <w:right w:val="single" w:color="C4C2BC"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All API route definitions</w:t>
            </w:r>
          </w:p>
        </w:tc>
      </w:tr>
      <w:tr>
        <w:tc>
          <w:tcPr>
            <w:tcW w:type="dxa" w:w="3600"/>
            <w:tcBorders>
              <w:top w:val="single" w:color="C4C2BC" w:sz="1"/>
              <w:left w:val="single" w:color="C4C2BC" w:sz="1"/>
              <w:bottom w:val="single" w:color="C4C2BC" w:sz="1"/>
              <w:right w:val="single" w:color="C4C2BC" w:sz="1"/>
            </w:tcBorders>
            <w:shd w:fill="F1EFE8" w:val="clear"/>
            <w:tcMar>
              <w:top w:type="dxa" w:w="80"/>
              <w:left w:type="dxa" w:w="120"/>
              <w:bottom w:type="dxa" w:w="80"/>
              <w:right w:type="dxa" w:w="120"/>
            </w:tcMar>
          </w:tcPr>
          <w:p>
            <w:r>
              <w:rPr>
                <w:rFonts w:ascii="Courier New" w:cs="Courier New" w:eastAsia="Courier New" w:hAnsi="Courier New"/>
                <w:b w:val="false"/>
                <w:bCs w:val="false"/>
                <w:color w:val="111111"/>
                <w:sz w:val="19"/>
                <w:szCs w:val="19"/>
              </w:rPr>
              <w:t xml:space="preserve">server/services/</w:t>
            </w:r>
          </w:p>
        </w:tc>
        <w:tc>
          <w:tcPr>
            <w:tcW w:type="dxa" w:w="5760"/>
            <w:tcBorders>
              <w:top w:val="single" w:color="C4C2BC" w:sz="1"/>
              <w:left w:val="single" w:color="C4C2BC" w:sz="1"/>
              <w:bottom w:val="single" w:color="C4C2BC" w:sz="1"/>
              <w:right w:val="single" w:color="C4C2BC" w:sz="1"/>
            </w:tcBorders>
            <w:shd w:fill="F1EFE8" w:val="clear"/>
            <w:tcMar>
              <w:top w:type="dxa" w:w="80"/>
              <w:left w:type="dxa" w:w="120"/>
              <w:bottom w:type="dxa" w:w="80"/>
              <w:right w:type="dxa" w:w="120"/>
            </w:tcMar>
          </w:tcPr>
          <w:p>
            <w:r>
              <w:rPr>
                <w:rFonts w:ascii="Arial" w:cs="Arial" w:eastAsia="Arial" w:hAnsi="Arial"/>
                <w:b w:val="false"/>
                <w:bCs w:val="false"/>
                <w:color w:val="111111"/>
                <w:sz w:val="19"/>
                <w:szCs w:val="19"/>
              </w:rPr>
              <w:t xml:space="preserve">Yahoo Finance, Alpha Vantage, CoinGecko integrations</w:t>
            </w:r>
          </w:p>
        </w:tc>
      </w:tr>
      <w:tr>
        <w:tc>
          <w:tcPr>
            <w:tcW w:type="dxa" w:w="3600"/>
            <w:tcBorders>
              <w:top w:val="single" w:color="C4C2BC" w:sz="1"/>
              <w:left w:val="single" w:color="C4C2BC" w:sz="1"/>
              <w:bottom w:val="single" w:color="C4C2BC" w:sz="1"/>
              <w:right w:val="single" w:color="C4C2B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111"/>
                <w:sz w:val="19"/>
                <w:szCs w:val="19"/>
              </w:rPr>
              <w:t xml:space="preserve">server/historical-ingestion.ts</w:t>
            </w:r>
          </w:p>
        </w:tc>
        <w:tc>
          <w:tcPr>
            <w:tcW w:type="dxa" w:w="5760"/>
            <w:tcBorders>
              <w:top w:val="single" w:color="C4C2BC" w:sz="1"/>
              <w:left w:val="single" w:color="C4C2BC" w:sz="1"/>
              <w:bottom w:val="single" w:color="C4C2BC" w:sz="1"/>
              <w:right w:val="single" w:color="C4C2BC"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HistoricalDataIngestion manager class</w:t>
            </w:r>
          </w:p>
        </w:tc>
      </w:tr>
      <w:tr>
        <w:tc>
          <w:tcPr>
            <w:tcW w:type="dxa" w:w="3600"/>
            <w:tcBorders>
              <w:top w:val="single" w:color="C4C2BC" w:sz="1"/>
              <w:left w:val="single" w:color="C4C2BC" w:sz="1"/>
              <w:bottom w:val="single" w:color="C4C2BC" w:sz="1"/>
              <w:right w:val="single" w:color="C4C2BC" w:sz="1"/>
            </w:tcBorders>
            <w:shd w:fill="F1EFE8" w:val="clear"/>
            <w:tcMar>
              <w:top w:type="dxa" w:w="80"/>
              <w:left w:type="dxa" w:w="120"/>
              <w:bottom w:type="dxa" w:w="80"/>
              <w:right w:type="dxa" w:w="120"/>
            </w:tcMar>
          </w:tcPr>
          <w:p>
            <w:r>
              <w:rPr>
                <w:rFonts w:ascii="Courier New" w:cs="Courier New" w:eastAsia="Courier New" w:hAnsi="Courier New"/>
                <w:b w:val="false"/>
                <w:bCs w:val="false"/>
                <w:color w:val="111111"/>
                <w:sz w:val="19"/>
                <w:szCs w:val="19"/>
              </w:rPr>
              <w:t xml:space="preserve">server/storage.ts</w:t>
            </w:r>
          </w:p>
        </w:tc>
        <w:tc>
          <w:tcPr>
            <w:tcW w:type="dxa" w:w="5760"/>
            <w:tcBorders>
              <w:top w:val="single" w:color="C4C2BC" w:sz="1"/>
              <w:left w:val="single" w:color="C4C2BC" w:sz="1"/>
              <w:bottom w:val="single" w:color="C4C2BC" w:sz="1"/>
              <w:right w:val="single" w:color="C4C2BC" w:sz="1"/>
            </w:tcBorders>
            <w:shd w:fill="F1EFE8" w:val="clear"/>
            <w:tcMar>
              <w:top w:type="dxa" w:w="80"/>
              <w:left w:type="dxa" w:w="120"/>
              <w:bottom w:type="dxa" w:w="80"/>
              <w:right w:type="dxa" w:w="120"/>
            </w:tcMar>
          </w:tcPr>
          <w:p>
            <w:r>
              <w:rPr>
                <w:rFonts w:ascii="Arial" w:cs="Arial" w:eastAsia="Arial" w:hAnsi="Arial"/>
                <w:b w:val="false"/>
                <w:bCs w:val="false"/>
                <w:color w:val="111111"/>
                <w:sz w:val="19"/>
                <w:szCs w:val="19"/>
              </w:rPr>
              <w:t xml:space="preserve">IStorage interface + MemStorage + DatabaseStorage</w:t>
            </w:r>
          </w:p>
        </w:tc>
      </w:tr>
      <w:tr>
        <w:tc>
          <w:tcPr>
            <w:tcW w:type="dxa" w:w="3600"/>
            <w:tcBorders>
              <w:top w:val="single" w:color="C4C2BC" w:sz="1"/>
              <w:left w:val="single" w:color="C4C2BC" w:sz="1"/>
              <w:bottom w:val="single" w:color="C4C2BC" w:sz="1"/>
              <w:right w:val="single" w:color="C4C2B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111"/>
                <w:sz w:val="19"/>
                <w:szCs w:val="19"/>
              </w:rPr>
              <w:t xml:space="preserve">shared/schema.ts</w:t>
            </w:r>
          </w:p>
        </w:tc>
        <w:tc>
          <w:tcPr>
            <w:tcW w:type="dxa" w:w="5760"/>
            <w:tcBorders>
              <w:top w:val="single" w:color="C4C2BC" w:sz="1"/>
              <w:left w:val="single" w:color="C4C2BC" w:sz="1"/>
              <w:bottom w:val="single" w:color="C4C2BC" w:sz="1"/>
              <w:right w:val="single" w:color="C4C2BC"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Shared TypeScript types and Drizzle ORM schema</w:t>
            </w:r>
          </w:p>
        </w:tc>
      </w:tr>
      <w:tr>
        <w:tc>
          <w:tcPr>
            <w:tcW w:type="dxa" w:w="3600"/>
            <w:tcBorders>
              <w:top w:val="single" w:color="C4C2BC" w:sz="1"/>
              <w:left w:val="single" w:color="C4C2BC" w:sz="1"/>
              <w:bottom w:val="single" w:color="C4C2BC" w:sz="1"/>
              <w:right w:val="single" w:color="C4C2BC" w:sz="1"/>
            </w:tcBorders>
            <w:shd w:fill="F1EFE8" w:val="clear"/>
            <w:tcMar>
              <w:top w:type="dxa" w:w="80"/>
              <w:left w:type="dxa" w:w="120"/>
              <w:bottom w:type="dxa" w:w="80"/>
              <w:right w:type="dxa" w:w="120"/>
            </w:tcMar>
          </w:tcPr>
          <w:p>
            <w:r>
              <w:rPr>
                <w:rFonts w:ascii="Courier New" w:cs="Courier New" w:eastAsia="Courier New" w:hAnsi="Courier New"/>
                <w:b w:val="false"/>
                <w:bCs w:val="false"/>
                <w:color w:val="111111"/>
                <w:sz w:val="19"/>
                <w:szCs w:val="19"/>
              </w:rPr>
              <w:t xml:space="preserve">drizzle.config.ts</w:t>
            </w:r>
          </w:p>
        </w:tc>
        <w:tc>
          <w:tcPr>
            <w:tcW w:type="dxa" w:w="5760"/>
            <w:tcBorders>
              <w:top w:val="single" w:color="C4C2BC" w:sz="1"/>
              <w:left w:val="single" w:color="C4C2BC" w:sz="1"/>
              <w:bottom w:val="single" w:color="C4C2BC" w:sz="1"/>
              <w:right w:val="single" w:color="C4C2BC" w:sz="1"/>
            </w:tcBorders>
            <w:shd w:fill="F1EFE8" w:val="clear"/>
            <w:tcMar>
              <w:top w:type="dxa" w:w="80"/>
              <w:left w:type="dxa" w:w="120"/>
              <w:bottom w:type="dxa" w:w="80"/>
              <w:right w:type="dxa" w:w="120"/>
            </w:tcMar>
          </w:tcPr>
          <w:p>
            <w:r>
              <w:rPr>
                <w:rFonts w:ascii="Arial" w:cs="Arial" w:eastAsia="Arial" w:hAnsi="Arial"/>
                <w:b w:val="false"/>
                <w:bCs w:val="false"/>
                <w:color w:val="111111"/>
                <w:sz w:val="19"/>
                <w:szCs w:val="19"/>
              </w:rPr>
              <w:t xml:space="preserve">Database migration configuration</w:t>
            </w:r>
          </w:p>
        </w:tc>
      </w:tr>
      <w:tr>
        <w:tc>
          <w:tcPr>
            <w:tcW w:type="dxa" w:w="3600"/>
            <w:tcBorders>
              <w:top w:val="single" w:color="C4C2BC" w:sz="1"/>
              <w:left w:val="single" w:color="C4C2BC" w:sz="1"/>
              <w:bottom w:val="single" w:color="C4C2BC" w:sz="1"/>
              <w:right w:val="single" w:color="C4C2B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111"/>
                <w:sz w:val="19"/>
                <w:szCs w:val="19"/>
              </w:rPr>
              <w:t xml:space="preserve">FINNHUB_INTEGRATION_SUMMARY.md</w:t>
            </w:r>
          </w:p>
        </w:tc>
        <w:tc>
          <w:tcPr>
            <w:tcW w:type="dxa" w:w="5760"/>
            <w:tcBorders>
              <w:top w:val="single" w:color="C4C2BC" w:sz="1"/>
              <w:left w:val="single" w:color="C4C2BC" w:sz="1"/>
              <w:bottom w:val="single" w:color="C4C2BC" w:sz="1"/>
              <w:right w:val="single" w:color="C4C2BC"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Data provider evaluation notes</w:t>
            </w:r>
          </w:p>
        </w:tc>
      </w:tr>
      <w:tr>
        <w:tc>
          <w:tcPr>
            <w:tcW w:type="dxa" w:w="3600"/>
            <w:tcBorders>
              <w:top w:val="single" w:color="C4C2BC" w:sz="1"/>
              <w:left w:val="single" w:color="C4C2BC" w:sz="1"/>
              <w:bottom w:val="single" w:color="C4C2BC" w:sz="1"/>
              <w:right w:val="single" w:color="C4C2BC" w:sz="1"/>
            </w:tcBorders>
            <w:shd w:fill="F1EFE8" w:val="clear"/>
            <w:tcMar>
              <w:top w:type="dxa" w:w="80"/>
              <w:left w:type="dxa" w:w="120"/>
              <w:bottom w:type="dxa" w:w="80"/>
              <w:right w:type="dxa" w:w="120"/>
            </w:tcMar>
          </w:tcPr>
          <w:p>
            <w:r>
              <w:rPr>
                <w:rFonts w:ascii="Courier New" w:cs="Courier New" w:eastAsia="Courier New" w:hAnsi="Courier New"/>
                <w:b w:val="false"/>
                <w:bCs w:val="false"/>
                <w:color w:val="111111"/>
                <w:sz w:val="19"/>
                <w:szCs w:val="19"/>
              </w:rPr>
              <w:t xml:space="preserve">design_guidelines.md</w:t>
            </w:r>
          </w:p>
        </w:tc>
        <w:tc>
          <w:tcPr>
            <w:tcW w:type="dxa" w:w="5760"/>
            <w:tcBorders>
              <w:top w:val="single" w:color="C4C2BC" w:sz="1"/>
              <w:left w:val="single" w:color="C4C2BC" w:sz="1"/>
              <w:bottom w:val="single" w:color="C4C2BC" w:sz="1"/>
              <w:right w:val="single" w:color="C4C2BC" w:sz="1"/>
            </w:tcBorders>
            <w:shd w:fill="F1EFE8" w:val="clear"/>
            <w:tcMar>
              <w:top w:type="dxa" w:w="80"/>
              <w:left w:type="dxa" w:w="120"/>
              <w:bottom w:type="dxa" w:w="80"/>
              <w:right w:type="dxa" w:w="120"/>
            </w:tcMar>
          </w:tcPr>
          <w:p>
            <w:r>
              <w:rPr>
                <w:rFonts w:ascii="Arial" w:cs="Arial" w:eastAsia="Arial" w:hAnsi="Arial"/>
                <w:b w:val="false"/>
                <w:bCs w:val="false"/>
                <w:color w:val="111111"/>
                <w:sz w:val="19"/>
                <w:szCs w:val="19"/>
              </w:rPr>
              <w:t xml:space="preserve">Terminal UI design specification</w:t>
            </w:r>
          </w:p>
        </w:tc>
      </w:tr>
    </w:tbl>
    <w:p>
      <w:pPr>
        <w:spacing w:after="60" w:before="60"/>
      </w:pPr>
    </w:p>
    <w:p>
      <w:pPr>
        <w:pStyle w:val="Heading1"/>
        <w:spacing w:after="80" w:before="420"/>
      </w:pPr>
      <w:r>
        <w:rPr>
          <w:rFonts w:ascii="Arial" w:cs="Arial" w:eastAsia="Arial" w:hAnsi="Arial"/>
          <w:b/>
          <w:bCs/>
          <w:color w:val="1A2B4A"/>
          <w:sz w:val="30"/>
          <w:szCs w:val="30"/>
        </w:rPr>
        <w:t xml:space="preserve">Appendix B: Technology Stack Summary</w:t>
      </w:r>
    </w:p>
    <w:p>
      <w:pPr>
        <w:pBdr>
          <w:bottom w:val="single" w:color="B85C00" w:sz="6" w:space="1"/>
        </w:pBdr>
        <w:spacing w:after="160" w:before="0"/>
      </w:pP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4C2BC" w:sz="1"/>
              <w:left w:val="single" w:color="C4C2BC" w:sz="1"/>
              <w:bottom w:val="single" w:color="C4C2BC" w:sz="1"/>
              <w:right w:val="single" w:color="C4C2BC" w:sz="1"/>
            </w:tcBorders>
            <w:shd w:fill="1A2B4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Category</w:t>
            </w:r>
          </w:p>
        </w:tc>
        <w:tc>
          <w:tcPr>
            <w:tcW w:type="dxa" w:w="3000"/>
            <w:tcBorders>
              <w:top w:val="single" w:color="C4C2BC" w:sz="1"/>
              <w:left w:val="single" w:color="C4C2BC" w:sz="1"/>
              <w:bottom w:val="single" w:color="C4C2BC" w:sz="1"/>
              <w:right w:val="single" w:color="C4C2BC" w:sz="1"/>
            </w:tcBorders>
            <w:shd w:fill="1A2B4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Technology</w:t>
            </w:r>
          </w:p>
        </w:tc>
        <w:tc>
          <w:tcPr>
            <w:tcW w:type="dxa" w:w="3360"/>
            <w:tcBorders>
              <w:top w:val="single" w:color="C4C2BC" w:sz="1"/>
              <w:left w:val="single" w:color="C4C2BC" w:sz="1"/>
              <w:bottom w:val="single" w:color="C4C2BC" w:sz="1"/>
              <w:right w:val="single" w:color="C4C2BC" w:sz="1"/>
            </w:tcBorders>
            <w:shd w:fill="1A2B4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Version / Notes</w:t>
            </w:r>
          </w:p>
        </w:tc>
      </w:tr>
      <w:tr>
        <w:tc>
          <w:tcPr>
            <w:tcW w:type="dxa" w:w="3000"/>
            <w:tcBorders>
              <w:top w:val="single" w:color="C4C2BC" w:sz="1"/>
              <w:left w:val="single" w:color="C4C2BC" w:sz="1"/>
              <w:bottom w:val="single" w:color="C4C2BC" w:sz="1"/>
              <w:right w:val="single" w:color="C4C2B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9"/>
                <w:szCs w:val="19"/>
              </w:rPr>
              <w:t xml:space="preserve">Frontend framework</w:t>
            </w:r>
          </w:p>
        </w:tc>
        <w:tc>
          <w:tcPr>
            <w:tcW w:type="dxa" w:w="3000"/>
            <w:tcBorders>
              <w:top w:val="single" w:color="C4C2BC" w:sz="1"/>
              <w:left w:val="single" w:color="C4C2BC" w:sz="1"/>
              <w:bottom w:val="single" w:color="C4C2BC" w:sz="1"/>
              <w:right w:val="single" w:color="C4C2B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React</w:t>
            </w:r>
          </w:p>
        </w:tc>
        <w:tc>
          <w:tcPr>
            <w:tcW w:type="dxa" w:w="3360"/>
            <w:tcBorders>
              <w:top w:val="single" w:color="C4C2BC" w:sz="1"/>
              <w:left w:val="single" w:color="C4C2BC" w:sz="1"/>
              <w:bottom w:val="single" w:color="C4C2BC" w:sz="1"/>
              <w:right w:val="single" w:color="C4C2B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18 with TypeScript</w:t>
            </w:r>
          </w:p>
        </w:tc>
      </w:tr>
      <w:tr>
        <w:tc>
          <w:tcPr>
            <w:tcW w:type="dxa" w:w="3000"/>
            <w:tcBorders>
              <w:top w:val="single" w:color="C4C2BC" w:sz="1"/>
              <w:left w:val="single" w:color="C4C2BC" w:sz="1"/>
              <w:bottom w:val="single" w:color="C4C2BC" w:sz="1"/>
              <w:right w:val="single" w:color="C4C2BC" w:sz="1"/>
            </w:tcBorders>
            <w:shd w:fill="F1EFE8" w:val="clear"/>
            <w:tcMar>
              <w:top w:type="dxa" w:w="80"/>
              <w:left w:type="dxa" w:w="120"/>
              <w:bottom w:type="dxa" w:w="80"/>
              <w:right w:type="dxa" w:w="120"/>
            </w:tcMar>
          </w:tcPr>
          <w:p>
            <w:pPr>
              <w:jc w:val="left"/>
            </w:pPr>
            <w:r>
              <w:rPr>
                <w:rFonts w:ascii="Arial" w:cs="Arial" w:eastAsia="Arial" w:hAnsi="Arial"/>
                <w:b w:val="false"/>
                <w:bCs w:val="false"/>
                <w:color w:val="111111"/>
                <w:sz w:val="19"/>
                <w:szCs w:val="19"/>
              </w:rPr>
              <w:t xml:space="preserve">Terminal layout</w:t>
            </w:r>
          </w:p>
        </w:tc>
        <w:tc>
          <w:tcPr>
            <w:tcW w:type="dxa" w:w="3000"/>
            <w:tcBorders>
              <w:top w:val="single" w:color="C4C2BC" w:sz="1"/>
              <w:left w:val="single" w:color="C4C2BC" w:sz="1"/>
              <w:bottom w:val="single" w:color="C4C2BC" w:sz="1"/>
              <w:right w:val="single" w:color="C4C2BC" w:sz="1"/>
            </w:tcBorders>
            <w:shd w:fill="F1EFE8"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React Grid Layout</w:t>
            </w:r>
          </w:p>
        </w:tc>
        <w:tc>
          <w:tcPr>
            <w:tcW w:type="dxa" w:w="3360"/>
            <w:tcBorders>
              <w:top w:val="single" w:color="C4C2BC" w:sz="1"/>
              <w:left w:val="single" w:color="C4C2BC" w:sz="1"/>
              <w:bottom w:val="single" w:color="C4C2BC" w:sz="1"/>
              <w:right w:val="single" w:color="C4C2BC" w:sz="1"/>
            </w:tcBorders>
            <w:shd w:fill="F1EFE8"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Resizable / draggable panels</w:t>
            </w:r>
          </w:p>
        </w:tc>
      </w:tr>
      <w:tr>
        <w:tc>
          <w:tcPr>
            <w:tcW w:type="dxa" w:w="3000"/>
            <w:tcBorders>
              <w:top w:val="single" w:color="C4C2BC" w:sz="1"/>
              <w:left w:val="single" w:color="C4C2BC" w:sz="1"/>
              <w:bottom w:val="single" w:color="C4C2BC" w:sz="1"/>
              <w:right w:val="single" w:color="C4C2B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9"/>
                <w:szCs w:val="19"/>
              </w:rPr>
              <w:t xml:space="preserve">Charting</w:t>
            </w:r>
          </w:p>
        </w:tc>
        <w:tc>
          <w:tcPr>
            <w:tcW w:type="dxa" w:w="3000"/>
            <w:tcBorders>
              <w:top w:val="single" w:color="C4C2BC" w:sz="1"/>
              <w:left w:val="single" w:color="C4C2BC" w:sz="1"/>
              <w:bottom w:val="single" w:color="C4C2BC" w:sz="1"/>
              <w:right w:val="single" w:color="C4C2B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Recharts</w:t>
            </w:r>
          </w:p>
        </w:tc>
        <w:tc>
          <w:tcPr>
            <w:tcW w:type="dxa" w:w="3360"/>
            <w:tcBorders>
              <w:top w:val="single" w:color="C4C2BC" w:sz="1"/>
              <w:left w:val="single" w:color="C4C2BC" w:sz="1"/>
              <w:bottom w:val="single" w:color="C4C2BC" w:sz="1"/>
              <w:right w:val="single" w:color="C4C2B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Candlestick, OHLCV, technical overlays</w:t>
            </w:r>
          </w:p>
        </w:tc>
      </w:tr>
      <w:tr>
        <w:tc>
          <w:tcPr>
            <w:tcW w:type="dxa" w:w="3000"/>
            <w:tcBorders>
              <w:top w:val="single" w:color="C4C2BC" w:sz="1"/>
              <w:left w:val="single" w:color="C4C2BC" w:sz="1"/>
              <w:bottom w:val="single" w:color="C4C2BC" w:sz="1"/>
              <w:right w:val="single" w:color="C4C2BC" w:sz="1"/>
            </w:tcBorders>
            <w:shd w:fill="F1EFE8" w:val="clear"/>
            <w:tcMar>
              <w:top w:type="dxa" w:w="80"/>
              <w:left w:type="dxa" w:w="120"/>
              <w:bottom w:type="dxa" w:w="80"/>
              <w:right w:type="dxa" w:w="120"/>
            </w:tcMar>
          </w:tcPr>
          <w:p>
            <w:pPr>
              <w:jc w:val="left"/>
            </w:pPr>
            <w:r>
              <w:rPr>
                <w:rFonts w:ascii="Arial" w:cs="Arial" w:eastAsia="Arial" w:hAnsi="Arial"/>
                <w:b w:val="false"/>
                <w:bCs w:val="false"/>
                <w:color w:val="111111"/>
                <w:sz w:val="19"/>
                <w:szCs w:val="19"/>
              </w:rPr>
              <w:t xml:space="preserve">Component library</w:t>
            </w:r>
          </w:p>
        </w:tc>
        <w:tc>
          <w:tcPr>
            <w:tcW w:type="dxa" w:w="3000"/>
            <w:tcBorders>
              <w:top w:val="single" w:color="C4C2BC" w:sz="1"/>
              <w:left w:val="single" w:color="C4C2BC" w:sz="1"/>
              <w:bottom w:val="single" w:color="C4C2BC" w:sz="1"/>
              <w:right w:val="single" w:color="C4C2BC" w:sz="1"/>
            </w:tcBorders>
            <w:shd w:fill="F1EFE8"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shadcn/ui + Radix UI</w:t>
            </w:r>
          </w:p>
        </w:tc>
        <w:tc>
          <w:tcPr>
            <w:tcW w:type="dxa" w:w="3360"/>
            <w:tcBorders>
              <w:top w:val="single" w:color="C4C2BC" w:sz="1"/>
              <w:left w:val="single" w:color="C4C2BC" w:sz="1"/>
              <w:bottom w:val="single" w:color="C4C2BC" w:sz="1"/>
              <w:right w:val="single" w:color="C4C2BC" w:sz="1"/>
            </w:tcBorders>
            <w:shd w:fill="F1EFE8"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Accessible primitives</w:t>
            </w:r>
          </w:p>
        </w:tc>
      </w:tr>
      <w:tr>
        <w:tc>
          <w:tcPr>
            <w:tcW w:type="dxa" w:w="3000"/>
            <w:tcBorders>
              <w:top w:val="single" w:color="C4C2BC" w:sz="1"/>
              <w:left w:val="single" w:color="C4C2BC" w:sz="1"/>
              <w:bottom w:val="single" w:color="C4C2BC" w:sz="1"/>
              <w:right w:val="single" w:color="C4C2B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9"/>
                <w:szCs w:val="19"/>
              </w:rPr>
              <w:t xml:space="preserve">Styling</w:t>
            </w:r>
          </w:p>
        </w:tc>
        <w:tc>
          <w:tcPr>
            <w:tcW w:type="dxa" w:w="3000"/>
            <w:tcBorders>
              <w:top w:val="single" w:color="C4C2BC" w:sz="1"/>
              <w:left w:val="single" w:color="C4C2BC" w:sz="1"/>
              <w:bottom w:val="single" w:color="C4C2BC" w:sz="1"/>
              <w:right w:val="single" w:color="C4C2B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Tailwind CSS</w:t>
            </w:r>
          </w:p>
        </w:tc>
        <w:tc>
          <w:tcPr>
            <w:tcW w:type="dxa" w:w="3360"/>
            <w:tcBorders>
              <w:top w:val="single" w:color="C4C2BC" w:sz="1"/>
              <w:left w:val="single" w:color="C4C2BC" w:sz="1"/>
              <w:bottom w:val="single" w:color="C4C2BC" w:sz="1"/>
              <w:right w:val="single" w:color="C4C2B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Custom dark terminal theme</w:t>
            </w:r>
          </w:p>
        </w:tc>
      </w:tr>
      <w:tr>
        <w:tc>
          <w:tcPr>
            <w:tcW w:type="dxa" w:w="3000"/>
            <w:tcBorders>
              <w:top w:val="single" w:color="C4C2BC" w:sz="1"/>
              <w:left w:val="single" w:color="C4C2BC" w:sz="1"/>
              <w:bottom w:val="single" w:color="C4C2BC" w:sz="1"/>
              <w:right w:val="single" w:color="C4C2BC" w:sz="1"/>
            </w:tcBorders>
            <w:shd w:fill="F1EFE8" w:val="clear"/>
            <w:tcMar>
              <w:top w:type="dxa" w:w="80"/>
              <w:left w:type="dxa" w:w="120"/>
              <w:bottom w:type="dxa" w:w="80"/>
              <w:right w:type="dxa" w:w="120"/>
            </w:tcMar>
          </w:tcPr>
          <w:p>
            <w:pPr>
              <w:jc w:val="left"/>
            </w:pPr>
            <w:r>
              <w:rPr>
                <w:rFonts w:ascii="Arial" w:cs="Arial" w:eastAsia="Arial" w:hAnsi="Arial"/>
                <w:b w:val="false"/>
                <w:bCs w:val="false"/>
                <w:color w:val="111111"/>
                <w:sz w:val="19"/>
                <w:szCs w:val="19"/>
              </w:rPr>
              <w:t xml:space="preserve">Server state</w:t>
            </w:r>
          </w:p>
        </w:tc>
        <w:tc>
          <w:tcPr>
            <w:tcW w:type="dxa" w:w="3000"/>
            <w:tcBorders>
              <w:top w:val="single" w:color="C4C2BC" w:sz="1"/>
              <w:left w:val="single" w:color="C4C2BC" w:sz="1"/>
              <w:bottom w:val="single" w:color="C4C2BC" w:sz="1"/>
              <w:right w:val="single" w:color="C4C2BC" w:sz="1"/>
            </w:tcBorders>
            <w:shd w:fill="F1EFE8"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TanStack React Query</w:t>
            </w:r>
          </w:p>
        </w:tc>
        <w:tc>
          <w:tcPr>
            <w:tcW w:type="dxa" w:w="3360"/>
            <w:tcBorders>
              <w:top w:val="single" w:color="C4C2BC" w:sz="1"/>
              <w:left w:val="single" w:color="C4C2BC" w:sz="1"/>
              <w:bottom w:val="single" w:color="C4C2BC" w:sz="1"/>
              <w:right w:val="single" w:color="C4C2BC" w:sz="1"/>
            </w:tcBorders>
            <w:shd w:fill="F1EFE8"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Cache, invalidation, background refresh</w:t>
            </w:r>
          </w:p>
        </w:tc>
      </w:tr>
      <w:tr>
        <w:tc>
          <w:tcPr>
            <w:tcW w:type="dxa" w:w="3000"/>
            <w:tcBorders>
              <w:top w:val="single" w:color="C4C2BC" w:sz="1"/>
              <w:left w:val="single" w:color="C4C2BC" w:sz="1"/>
              <w:bottom w:val="single" w:color="C4C2BC" w:sz="1"/>
              <w:right w:val="single" w:color="C4C2B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9"/>
                <w:szCs w:val="19"/>
              </w:rPr>
              <w:t xml:space="preserve">Backend</w:t>
            </w:r>
          </w:p>
        </w:tc>
        <w:tc>
          <w:tcPr>
            <w:tcW w:type="dxa" w:w="3000"/>
            <w:tcBorders>
              <w:top w:val="single" w:color="C4C2BC" w:sz="1"/>
              <w:left w:val="single" w:color="C4C2BC" w:sz="1"/>
              <w:bottom w:val="single" w:color="C4C2BC" w:sz="1"/>
              <w:right w:val="single" w:color="C4C2B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Express.js</w:t>
            </w:r>
          </w:p>
        </w:tc>
        <w:tc>
          <w:tcPr>
            <w:tcW w:type="dxa" w:w="3360"/>
            <w:tcBorders>
              <w:top w:val="single" w:color="C4C2BC" w:sz="1"/>
              <w:left w:val="single" w:color="C4C2BC" w:sz="1"/>
              <w:bottom w:val="single" w:color="C4C2BC" w:sz="1"/>
              <w:right w:val="single" w:color="C4C2B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TypeScript, layered architecture</w:t>
            </w:r>
          </w:p>
        </w:tc>
      </w:tr>
      <w:tr>
        <w:tc>
          <w:tcPr>
            <w:tcW w:type="dxa" w:w="3000"/>
            <w:tcBorders>
              <w:top w:val="single" w:color="C4C2BC" w:sz="1"/>
              <w:left w:val="single" w:color="C4C2BC" w:sz="1"/>
              <w:bottom w:val="single" w:color="C4C2BC" w:sz="1"/>
              <w:right w:val="single" w:color="C4C2BC" w:sz="1"/>
            </w:tcBorders>
            <w:shd w:fill="F1EFE8" w:val="clear"/>
            <w:tcMar>
              <w:top w:type="dxa" w:w="80"/>
              <w:left w:type="dxa" w:w="120"/>
              <w:bottom w:type="dxa" w:w="80"/>
              <w:right w:type="dxa" w:w="120"/>
            </w:tcMar>
          </w:tcPr>
          <w:p>
            <w:pPr>
              <w:jc w:val="left"/>
            </w:pPr>
            <w:r>
              <w:rPr>
                <w:rFonts w:ascii="Arial" w:cs="Arial" w:eastAsia="Arial" w:hAnsi="Arial"/>
                <w:b w:val="false"/>
                <w:bCs w:val="false"/>
                <w:color w:val="111111"/>
                <w:sz w:val="19"/>
                <w:szCs w:val="19"/>
              </w:rPr>
              <w:t xml:space="preserve">ORM</w:t>
            </w:r>
          </w:p>
        </w:tc>
        <w:tc>
          <w:tcPr>
            <w:tcW w:type="dxa" w:w="3000"/>
            <w:tcBorders>
              <w:top w:val="single" w:color="C4C2BC" w:sz="1"/>
              <w:left w:val="single" w:color="C4C2BC" w:sz="1"/>
              <w:bottom w:val="single" w:color="C4C2BC" w:sz="1"/>
              <w:right w:val="single" w:color="C4C2BC" w:sz="1"/>
            </w:tcBorders>
            <w:shd w:fill="F1EFE8"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Drizzle ORM</w:t>
            </w:r>
          </w:p>
        </w:tc>
        <w:tc>
          <w:tcPr>
            <w:tcW w:type="dxa" w:w="3360"/>
            <w:tcBorders>
              <w:top w:val="single" w:color="C4C2BC" w:sz="1"/>
              <w:left w:val="single" w:color="C4C2BC" w:sz="1"/>
              <w:bottom w:val="single" w:color="C4C2BC" w:sz="1"/>
              <w:right w:val="single" w:color="C4C2BC" w:sz="1"/>
            </w:tcBorders>
            <w:shd w:fill="F1EFE8"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Type-safe, migration-tracked</w:t>
            </w:r>
          </w:p>
        </w:tc>
      </w:tr>
      <w:tr>
        <w:tc>
          <w:tcPr>
            <w:tcW w:type="dxa" w:w="3000"/>
            <w:tcBorders>
              <w:top w:val="single" w:color="C4C2BC" w:sz="1"/>
              <w:left w:val="single" w:color="C4C2BC" w:sz="1"/>
              <w:bottom w:val="single" w:color="C4C2BC" w:sz="1"/>
              <w:right w:val="single" w:color="C4C2B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9"/>
                <w:szCs w:val="19"/>
              </w:rPr>
              <w:t xml:space="preserve">Database</w:t>
            </w:r>
          </w:p>
        </w:tc>
        <w:tc>
          <w:tcPr>
            <w:tcW w:type="dxa" w:w="3000"/>
            <w:tcBorders>
              <w:top w:val="single" w:color="C4C2BC" w:sz="1"/>
              <w:left w:val="single" w:color="C4C2BC" w:sz="1"/>
              <w:bottom w:val="single" w:color="C4C2BC" w:sz="1"/>
              <w:right w:val="single" w:color="C4C2B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PostgreSQL (Neon)</w:t>
            </w:r>
          </w:p>
        </w:tc>
        <w:tc>
          <w:tcPr>
            <w:tcW w:type="dxa" w:w="3360"/>
            <w:tcBorders>
              <w:top w:val="single" w:color="C4C2BC" w:sz="1"/>
              <w:left w:val="single" w:color="C4C2BC" w:sz="1"/>
              <w:bottom w:val="single" w:color="C4C2BC" w:sz="1"/>
              <w:right w:val="single" w:color="C4C2B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Serverless, auto-scaling</w:t>
            </w:r>
          </w:p>
        </w:tc>
      </w:tr>
      <w:tr>
        <w:tc>
          <w:tcPr>
            <w:tcW w:type="dxa" w:w="3000"/>
            <w:tcBorders>
              <w:top w:val="single" w:color="C4C2BC" w:sz="1"/>
              <w:left w:val="single" w:color="C4C2BC" w:sz="1"/>
              <w:bottom w:val="single" w:color="C4C2BC" w:sz="1"/>
              <w:right w:val="single" w:color="C4C2BC" w:sz="1"/>
            </w:tcBorders>
            <w:shd w:fill="F1EFE8" w:val="clear"/>
            <w:tcMar>
              <w:top w:type="dxa" w:w="80"/>
              <w:left w:type="dxa" w:w="120"/>
              <w:bottom w:type="dxa" w:w="80"/>
              <w:right w:type="dxa" w:w="120"/>
            </w:tcMar>
          </w:tcPr>
          <w:p>
            <w:pPr>
              <w:jc w:val="left"/>
            </w:pPr>
            <w:r>
              <w:rPr>
                <w:rFonts w:ascii="Arial" w:cs="Arial" w:eastAsia="Arial" w:hAnsi="Arial"/>
                <w:b w:val="false"/>
                <w:bCs w:val="false"/>
                <w:color w:val="111111"/>
                <w:sz w:val="19"/>
                <w:szCs w:val="19"/>
              </w:rPr>
              <w:t xml:space="preserve">Real-time</w:t>
            </w:r>
          </w:p>
        </w:tc>
        <w:tc>
          <w:tcPr>
            <w:tcW w:type="dxa" w:w="3000"/>
            <w:tcBorders>
              <w:top w:val="single" w:color="C4C2BC" w:sz="1"/>
              <w:left w:val="single" w:color="C4C2BC" w:sz="1"/>
              <w:bottom w:val="single" w:color="C4C2BC" w:sz="1"/>
              <w:right w:val="single" w:color="C4C2BC" w:sz="1"/>
            </w:tcBorders>
            <w:shd w:fill="F1EFE8"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WebSocket (native)</w:t>
            </w:r>
          </w:p>
        </w:tc>
        <w:tc>
          <w:tcPr>
            <w:tcW w:type="dxa" w:w="3360"/>
            <w:tcBorders>
              <w:top w:val="single" w:color="C4C2BC" w:sz="1"/>
              <w:left w:val="single" w:color="C4C2BC" w:sz="1"/>
              <w:bottom w:val="single" w:color="C4C2BC" w:sz="1"/>
              <w:right w:val="single" w:color="C4C2BC" w:sz="1"/>
            </w:tcBorders>
            <w:shd w:fill="F1EFE8"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Server push, 5s update cycle</w:t>
            </w:r>
          </w:p>
        </w:tc>
      </w:tr>
      <w:tr>
        <w:tc>
          <w:tcPr>
            <w:tcW w:type="dxa" w:w="3000"/>
            <w:tcBorders>
              <w:top w:val="single" w:color="C4C2BC" w:sz="1"/>
              <w:left w:val="single" w:color="C4C2BC" w:sz="1"/>
              <w:bottom w:val="single" w:color="C4C2BC" w:sz="1"/>
              <w:right w:val="single" w:color="C4C2B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9"/>
                <w:szCs w:val="19"/>
              </w:rPr>
              <w:t xml:space="preserve">Build</w:t>
            </w:r>
          </w:p>
        </w:tc>
        <w:tc>
          <w:tcPr>
            <w:tcW w:type="dxa" w:w="3000"/>
            <w:tcBorders>
              <w:top w:val="single" w:color="C4C2BC" w:sz="1"/>
              <w:left w:val="single" w:color="C4C2BC" w:sz="1"/>
              <w:bottom w:val="single" w:color="C4C2BC" w:sz="1"/>
              <w:right w:val="single" w:color="C4C2B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Vite + ESBuild</w:t>
            </w:r>
          </w:p>
        </w:tc>
        <w:tc>
          <w:tcPr>
            <w:tcW w:type="dxa" w:w="3360"/>
            <w:tcBorders>
              <w:top w:val="single" w:color="C4C2BC" w:sz="1"/>
              <w:left w:val="single" w:color="C4C2BC" w:sz="1"/>
              <w:bottom w:val="single" w:color="C4C2BC" w:sz="1"/>
              <w:right w:val="single" w:color="C4C2B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Fast HMR in dev, optimised prod bundle</w:t>
            </w:r>
          </w:p>
        </w:tc>
      </w:tr>
      <w:tr>
        <w:tc>
          <w:tcPr>
            <w:tcW w:type="dxa" w:w="3000"/>
            <w:tcBorders>
              <w:top w:val="single" w:color="C4C2BC" w:sz="1"/>
              <w:left w:val="single" w:color="C4C2BC" w:sz="1"/>
              <w:bottom w:val="single" w:color="C4C2BC" w:sz="1"/>
              <w:right w:val="single" w:color="C4C2BC" w:sz="1"/>
            </w:tcBorders>
            <w:shd w:fill="F1EFE8" w:val="clear"/>
            <w:tcMar>
              <w:top w:type="dxa" w:w="80"/>
              <w:left w:type="dxa" w:w="120"/>
              <w:bottom w:type="dxa" w:w="80"/>
              <w:right w:type="dxa" w:w="120"/>
            </w:tcMar>
          </w:tcPr>
          <w:p>
            <w:pPr>
              <w:jc w:val="left"/>
            </w:pPr>
            <w:r>
              <w:rPr>
                <w:rFonts w:ascii="Arial" w:cs="Arial" w:eastAsia="Arial" w:hAnsi="Arial"/>
                <w:b w:val="false"/>
                <w:bCs w:val="false"/>
                <w:color w:val="111111"/>
                <w:sz w:val="19"/>
                <w:szCs w:val="19"/>
              </w:rPr>
              <w:t xml:space="preserve">Validation</w:t>
            </w:r>
          </w:p>
        </w:tc>
        <w:tc>
          <w:tcPr>
            <w:tcW w:type="dxa" w:w="3000"/>
            <w:tcBorders>
              <w:top w:val="single" w:color="C4C2BC" w:sz="1"/>
              <w:left w:val="single" w:color="C4C2BC" w:sz="1"/>
              <w:bottom w:val="single" w:color="C4C2BC" w:sz="1"/>
              <w:right w:val="single" w:color="C4C2BC" w:sz="1"/>
            </w:tcBorders>
            <w:shd w:fill="F1EFE8"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Zod</w:t>
            </w:r>
          </w:p>
        </w:tc>
        <w:tc>
          <w:tcPr>
            <w:tcW w:type="dxa" w:w="3360"/>
            <w:tcBorders>
              <w:top w:val="single" w:color="C4C2BC" w:sz="1"/>
              <w:left w:val="single" w:color="C4C2BC" w:sz="1"/>
              <w:bottom w:val="single" w:color="C4C2BC" w:sz="1"/>
              <w:right w:val="single" w:color="C4C2BC" w:sz="1"/>
            </w:tcBorders>
            <w:shd w:fill="F1EFE8"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Runtime schema validation on all API boundaries</w:t>
            </w:r>
          </w:p>
        </w:tc>
      </w:tr>
      <w:tr>
        <w:tc>
          <w:tcPr>
            <w:tcW w:type="dxa" w:w="3000"/>
            <w:tcBorders>
              <w:top w:val="single" w:color="C4C2BC" w:sz="1"/>
              <w:left w:val="single" w:color="C4C2BC" w:sz="1"/>
              <w:bottom w:val="single" w:color="C4C2BC" w:sz="1"/>
              <w:right w:val="single" w:color="C4C2B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9"/>
                <w:szCs w:val="19"/>
              </w:rPr>
              <w:t xml:space="preserve">Scheduling</w:t>
            </w:r>
          </w:p>
        </w:tc>
        <w:tc>
          <w:tcPr>
            <w:tcW w:type="dxa" w:w="3000"/>
            <w:tcBorders>
              <w:top w:val="single" w:color="C4C2BC" w:sz="1"/>
              <w:left w:val="single" w:color="C4C2BC" w:sz="1"/>
              <w:bottom w:val="single" w:color="C4C2BC" w:sz="1"/>
              <w:right w:val="single" w:color="C4C2B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Node-cron</w:t>
            </w:r>
          </w:p>
        </w:tc>
        <w:tc>
          <w:tcPr>
            <w:tcW w:type="dxa" w:w="3360"/>
            <w:tcBorders>
              <w:top w:val="single" w:color="C4C2BC" w:sz="1"/>
              <w:left w:val="single" w:color="C4C2BC" w:sz="1"/>
              <w:bottom w:val="single" w:color="C4C2BC" w:sz="1"/>
              <w:right w:val="single" w:color="C4C2B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Background ingestion jobs</w:t>
            </w:r>
          </w:p>
        </w:tc>
      </w:tr>
      <w:tr>
        <w:tc>
          <w:tcPr>
            <w:tcW w:type="dxa" w:w="3000"/>
            <w:tcBorders>
              <w:top w:val="single" w:color="C4C2BC" w:sz="1"/>
              <w:left w:val="single" w:color="C4C2BC" w:sz="1"/>
              <w:bottom w:val="single" w:color="C4C2BC" w:sz="1"/>
              <w:right w:val="single" w:color="C4C2BC" w:sz="1"/>
            </w:tcBorders>
            <w:shd w:fill="F1EFE8" w:val="clear"/>
            <w:tcMar>
              <w:top w:type="dxa" w:w="80"/>
              <w:left w:type="dxa" w:w="120"/>
              <w:bottom w:type="dxa" w:w="80"/>
              <w:right w:type="dxa" w:w="120"/>
            </w:tcMar>
          </w:tcPr>
          <w:p>
            <w:pPr>
              <w:jc w:val="left"/>
            </w:pPr>
            <w:r>
              <w:rPr>
                <w:rFonts w:ascii="Arial" w:cs="Arial" w:eastAsia="Arial" w:hAnsi="Arial"/>
                <w:b w:val="false"/>
                <w:bCs w:val="false"/>
                <w:color w:val="111111"/>
                <w:sz w:val="19"/>
                <w:szCs w:val="19"/>
              </w:rPr>
              <w:t xml:space="preserve">Primary data</w:t>
            </w:r>
          </w:p>
        </w:tc>
        <w:tc>
          <w:tcPr>
            <w:tcW w:type="dxa" w:w="3000"/>
            <w:tcBorders>
              <w:top w:val="single" w:color="C4C2BC" w:sz="1"/>
              <w:left w:val="single" w:color="C4C2BC" w:sz="1"/>
              <w:bottom w:val="single" w:color="C4C2BC" w:sz="1"/>
              <w:right w:val="single" w:color="C4C2BC" w:sz="1"/>
            </w:tcBorders>
            <w:shd w:fill="F1EFE8"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yahoo-finance2</w:t>
            </w:r>
          </w:p>
        </w:tc>
        <w:tc>
          <w:tcPr>
            <w:tcW w:type="dxa" w:w="3360"/>
            <w:tcBorders>
              <w:top w:val="single" w:color="C4C2BC" w:sz="1"/>
              <w:left w:val="single" w:color="C4C2BC" w:sz="1"/>
              <w:bottom w:val="single" w:color="C4C2BC" w:sz="1"/>
              <w:right w:val="single" w:color="C4C2BC" w:sz="1"/>
            </w:tcBorders>
            <w:shd w:fill="F1EFE8"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Equities, indices, ETFs, FX</w:t>
            </w:r>
          </w:p>
        </w:tc>
      </w:tr>
      <w:tr>
        <w:tc>
          <w:tcPr>
            <w:tcW w:type="dxa" w:w="3000"/>
            <w:tcBorders>
              <w:top w:val="single" w:color="C4C2BC" w:sz="1"/>
              <w:left w:val="single" w:color="C4C2BC" w:sz="1"/>
              <w:bottom w:val="single" w:color="C4C2BC" w:sz="1"/>
              <w:right w:val="single" w:color="C4C2B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9"/>
                <w:szCs w:val="19"/>
              </w:rPr>
              <w:t xml:space="preserve">Secondary data</w:t>
            </w:r>
          </w:p>
        </w:tc>
        <w:tc>
          <w:tcPr>
            <w:tcW w:type="dxa" w:w="3000"/>
            <w:tcBorders>
              <w:top w:val="single" w:color="C4C2BC" w:sz="1"/>
              <w:left w:val="single" w:color="C4C2BC" w:sz="1"/>
              <w:bottom w:val="single" w:color="C4C2BC" w:sz="1"/>
              <w:right w:val="single" w:color="C4C2B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Alpha Vantage</w:t>
            </w:r>
          </w:p>
        </w:tc>
        <w:tc>
          <w:tcPr>
            <w:tcW w:type="dxa" w:w="3360"/>
            <w:tcBorders>
              <w:top w:val="single" w:color="C4C2BC" w:sz="1"/>
              <w:left w:val="single" w:color="C4C2BC" w:sz="1"/>
              <w:bottom w:val="single" w:color="C4C2BC" w:sz="1"/>
              <w:right w:val="single" w:color="C4C2B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Enhanced analytics, alternatives</w:t>
            </w:r>
          </w:p>
        </w:tc>
      </w:tr>
      <w:tr>
        <w:tc>
          <w:tcPr>
            <w:tcW w:type="dxa" w:w="3000"/>
            <w:tcBorders>
              <w:top w:val="single" w:color="C4C2BC" w:sz="1"/>
              <w:left w:val="single" w:color="C4C2BC" w:sz="1"/>
              <w:bottom w:val="single" w:color="C4C2BC" w:sz="1"/>
              <w:right w:val="single" w:color="C4C2BC" w:sz="1"/>
            </w:tcBorders>
            <w:shd w:fill="F1EFE8" w:val="clear"/>
            <w:tcMar>
              <w:top w:type="dxa" w:w="80"/>
              <w:left w:type="dxa" w:w="120"/>
              <w:bottom w:type="dxa" w:w="80"/>
              <w:right w:type="dxa" w:w="120"/>
            </w:tcMar>
          </w:tcPr>
          <w:p>
            <w:pPr>
              <w:jc w:val="left"/>
            </w:pPr>
            <w:r>
              <w:rPr>
                <w:rFonts w:ascii="Arial" w:cs="Arial" w:eastAsia="Arial" w:hAnsi="Arial"/>
                <w:b w:val="false"/>
                <w:bCs w:val="false"/>
                <w:color w:val="111111"/>
                <w:sz w:val="19"/>
                <w:szCs w:val="19"/>
              </w:rPr>
              <w:t xml:space="preserve">Crypto data</w:t>
            </w:r>
          </w:p>
        </w:tc>
        <w:tc>
          <w:tcPr>
            <w:tcW w:type="dxa" w:w="3000"/>
            <w:tcBorders>
              <w:top w:val="single" w:color="C4C2BC" w:sz="1"/>
              <w:left w:val="single" w:color="C4C2BC" w:sz="1"/>
              <w:bottom w:val="single" w:color="C4C2BC" w:sz="1"/>
              <w:right w:val="single" w:color="C4C2BC" w:sz="1"/>
            </w:tcBorders>
            <w:shd w:fill="F1EFE8"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CoinGecko</w:t>
            </w:r>
          </w:p>
        </w:tc>
        <w:tc>
          <w:tcPr>
            <w:tcW w:type="dxa" w:w="3360"/>
            <w:tcBorders>
              <w:top w:val="single" w:color="C4C2BC" w:sz="1"/>
              <w:left w:val="single" w:color="C4C2BC" w:sz="1"/>
              <w:bottom w:val="single" w:color="C4C2BC" w:sz="1"/>
              <w:right w:val="single" w:color="C4C2BC" w:sz="1"/>
            </w:tcBorders>
            <w:shd w:fill="F1EFE8"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Trending assets, market caps</w:t>
            </w:r>
          </w:p>
        </w:tc>
      </w:tr>
      <w:tr>
        <w:tc>
          <w:tcPr>
            <w:tcW w:type="dxa" w:w="3000"/>
            <w:tcBorders>
              <w:top w:val="single" w:color="C4C2BC" w:sz="1"/>
              <w:left w:val="single" w:color="C4C2BC" w:sz="1"/>
              <w:bottom w:val="single" w:color="C4C2BC" w:sz="1"/>
              <w:right w:val="single" w:color="C4C2B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9"/>
                <w:szCs w:val="19"/>
              </w:rPr>
              <w:t xml:space="preserve">Auth</w:t>
            </w:r>
          </w:p>
        </w:tc>
        <w:tc>
          <w:tcPr>
            <w:tcW w:type="dxa" w:w="3000"/>
            <w:tcBorders>
              <w:top w:val="single" w:color="C4C2BC" w:sz="1"/>
              <w:left w:val="single" w:color="C4C2BC" w:sz="1"/>
              <w:bottom w:val="single" w:color="C4C2BC" w:sz="1"/>
              <w:right w:val="single" w:color="C4C2B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bcryptjs + express-session</w:t>
            </w:r>
          </w:p>
        </w:tc>
        <w:tc>
          <w:tcPr>
            <w:tcW w:type="dxa" w:w="3360"/>
            <w:tcBorders>
              <w:top w:val="single" w:color="C4C2BC" w:sz="1"/>
              <w:left w:val="single" w:color="C4C2BC" w:sz="1"/>
              <w:bottom w:val="single" w:color="C4C2BC" w:sz="1"/>
              <w:right w:val="single" w:color="C4C2B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Session-based with PostgreSQL store</w:t>
            </w:r>
          </w:p>
        </w:tc>
      </w:tr>
    </w:tbl>
    <w:p>
      <w:pPr>
        <w:spacing w:after="60" w:before="6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320"/>
      </w:pPr>
      <w:rPr>
        <w:rFonts w:ascii="Arial" w:cs="Arial" w:eastAsia="Arial" w:hAnsi="Arial"/>
        <w:sz w:val="21"/>
        <w:szCs w:val="21"/>
      </w:rPr>
    </w:lvl>
    <w:lvl w:ilvl="1" w15:tentative="1">
      <w:start w:val="1"/>
      <w:numFmt w:val="bullet"/>
      <w:lvlText w:val="–"/>
      <w:lvlJc w:val="left"/>
      <w:pPr>
        <w:ind w:left="920" w:hanging="280"/>
      </w:pPr>
      <w:rPr>
        <w:rFonts w:ascii="Arial" w:cs="Arial" w:eastAsia="Arial" w:hAnsi="Arial"/>
        <w:sz w:val="19"/>
        <w:szCs w:val="19"/>
      </w:rPr>
    </w:lvl>
  </w:abstractNum>
  <w:abstractNum w:abstractNumId="3" w15:restartNumberingAfterBreak="0">
    <w:multiLevelType w:val="hybridMultilevel"/>
    <w:lvl w:ilvl="0" w15:tentative="1">
      <w:start w:val="1"/>
      <w:numFmt w:val="decimal"/>
      <w:lvlText w:val="%1."/>
      <w:lvlJc w:val="left"/>
      <w:pPr>
        <w:ind w:left="520" w:hanging="320"/>
      </w:pPr>
      <w:rPr>
        <w:rFonts w:ascii="Arial" w:cs="Arial" w:eastAsia="Arial" w:hAnsi="Arial"/>
        <w:sz w:val="21"/>
        <w:szCs w:val="21"/>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420"/>
      <w:outlineLvl w:val="0"/>
    </w:pPr>
    <w:rPr>
      <w:rFonts w:ascii="Arial" w:cs="Arial" w:eastAsia="Arial" w:hAnsi="Arial"/>
      <w:b/>
      <w:bCs/>
      <w:color w:val="1A2B4A"/>
      <w:sz w:val="30"/>
      <w:szCs w:val="30"/>
    </w:rPr>
  </w:style>
  <w:style w:type="paragraph" w:styleId="Heading2">
    <w:name w:val="Heading 2"/>
    <w:basedOn w:val="Normal"/>
    <w:next w:val="Normal"/>
    <w:qFormat/>
    <w:pPr>
      <w:spacing w:after="80" w:before="280"/>
      <w:outlineLvl w:val="1"/>
    </w:pPr>
    <w:rPr>
      <w:rFonts w:ascii="Arial" w:cs="Arial" w:eastAsia="Arial" w:hAnsi="Arial"/>
      <w:b/>
      <w:bCs/>
      <w:color w:val="1A2B4A"/>
      <w:sz w:val="24"/>
      <w:szCs w:val="24"/>
    </w:rPr>
  </w:style>
  <w:style w:type="paragraph" w:styleId="Heading3">
    <w:name w:val="Heading 3"/>
    <w:basedOn w:val="Normal"/>
    <w:next w:val="Normal"/>
    <w:qFormat/>
    <w:pPr>
      <w:spacing w:after="60" w:before="200"/>
      <w:outlineLvl w:val="2"/>
    </w:pPr>
    <w:rPr>
      <w:rFonts w:ascii="Arial" w:cs="Arial" w:eastAsia="Arial" w:hAnsi="Arial"/>
      <w:b/>
      <w:bCs/>
      <w:color w:val="B85C0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2026-06-09T15:42:05.524Z</dcterms:created>
  <dcterms:modified xsi:type="dcterms:W3CDTF">2026-06-09T15:42:05.535Z</dcterms:modified>
</cp:coreProperties>
</file>

<file path=docProps/custom.xml><?xml version="1.0" encoding="utf-8"?>
<Properties xmlns="http://schemas.openxmlformats.org/officeDocument/2006/custom-properties" xmlns:vt="http://schemas.openxmlformats.org/officeDocument/2006/docPropsVTypes"/>
</file>