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9.png" ContentType="image/png"/>
  <Override PartName="/word/media/rId51.png" ContentType="image/png"/>
  <Override PartName="/word/media/rId127.png" ContentType="image/png"/>
  <Override PartName="/word/media/rId26.png" ContentType="image/png"/>
  <Override PartName="/word/media/rId78.png" ContentType="image/png"/>
  <Override PartName="/word/media/rId74.png" ContentType="image/png"/>
  <Override PartName="/word/media/rId10.png" ContentType="image/png"/>
  <Override PartName="/word/media/rId36.png" ContentType="image/png"/>
  <Override PartName="/word/media/rId22.png" ContentType="image/png"/>
  <Override PartName="/word/media/rId66.png" ContentType="image/png"/>
  <Override PartName="/word/media/rId112.png" ContentType="image/png"/>
  <Override PartName="/word/media/rId106.png" ContentType="image/png"/>
  <Override PartName="/word/media/rId87.png" ContentType="image/png"/>
  <Override PartName="/word/media/rId83.png" ContentType="image/png"/>
  <Override PartName="/word/media/rId92.png" ContentType="image/png"/>
  <Override PartName="/word/media/rId115.png" ContentType="image/png"/>
  <Override PartName="/word/media/rId118.png" ContentType="image/png"/>
  <Override PartName="/word/media/rId124.png" ContentType="image/png"/>
  <Override PartName="/word/media/rId97.png" ContentType="image/png"/>
  <Override PartName="/word/media/rId56.png" ContentType="image/png"/>
  <Override PartName="/word/media/rId70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QuantBloom Terminal</w:t>
      </w:r>
    </w:p>
    <w:p>
      <w:pPr>
        <w:pStyle w:val="Subtitle"/>
      </w:pPr>
      <w:r>
        <w:t xml:space="preserve">A Technical Whitepaper — Machine Learning, Trading Strategies, and the Mathematics Behind Them</w:t>
      </w:r>
    </w:p>
    <w:p>
      <w:pPr>
        <w:pStyle w:val="Author"/>
      </w:pPr>
      <w:r>
        <w:t xml:space="preserve">QuantBloom Research</w:t>
      </w:r>
    </w:p>
    <w:p>
      <w:pPr>
        <w:pStyle w:val="Date"/>
      </w:pPr>
      <w:r>
        <w:t xml:space="preserve">Version 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QuantBloom Terminal is a single-page, browser-native quantitative research and</w:t>
      </w:r>
      <w:r>
        <w:t xml:space="preserve"> </w:t>
      </w:r>
      <w:r>
        <w:t xml:space="preserve">trading environment modelled on the workflow of a professional trading desk. It</w:t>
      </w:r>
      <w:r>
        <w:t xml:space="preserve"> </w:t>
      </w:r>
      <w:r>
        <w:t xml:space="preserve">unifies market data, advanced charting, a machine-learning signal pipeline, an</w:t>
      </w:r>
      <w:r>
        <w:t xml:space="preserve"> </w:t>
      </w:r>
      <w:r>
        <w:t xml:space="preserve">honest backtesting engine, a risk-gated paper-trading bot, a broad suite of</w:t>
      </w:r>
      <w:r>
        <w:t xml:space="preserve"> </w:t>
      </w:r>
      <w:r>
        <w:t xml:space="preserve">portfolio and derivatives analytics, and a power/commodities pricing desk into a</w:t>
      </w:r>
      <w:r>
        <w:t xml:space="preserve"> </w:t>
      </w:r>
      <w:r>
        <w:t xml:space="preserve">single 37-panel terminal. The system is written in JavaScript end to end — a</w:t>
      </w:r>
      <w:r>
        <w:t xml:space="preserve"> </w:t>
      </w:r>
      <w:r>
        <w:t xml:space="preserve">React/Vite front end and an Express API — with every numerically load-bearing</w:t>
      </w:r>
      <w:r>
        <w:t xml:space="preserve"> </w:t>
      </w:r>
      <w:r>
        <w:t xml:space="preserve">computation implemented as a pure, unit-tested module (332 tests at the time of</w:t>
      </w:r>
      <w:r>
        <w:t xml:space="preserve"> </w:t>
      </w:r>
      <w:r>
        <w:t xml:space="preserve">writing).</w:t>
      </w:r>
    </w:p>
    <w:p>
      <w:pPr>
        <w:pStyle w:val="BodyText"/>
      </w:pPr>
      <w:r>
        <w:t xml:space="preserve">This paper documents the system in depth. Its emphasis is on the</w:t>
      </w:r>
      <w:r>
        <w:t xml:space="preserve"> </w:t>
      </w:r>
      <w:r>
        <w:rPr>
          <w:b/>
          <w:bCs/>
        </w:rPr>
        <w:t xml:space="preserve">mathematics</w:t>
      </w:r>
      <w:r>
        <w:t xml:space="preserve"> </w:t>
      </w:r>
      <w:r>
        <w:t xml:space="preserve">of the trading and machine-learning components: the feature construction and</w:t>
      </w:r>
      <w:r>
        <w:t xml:space="preserve"> </w:t>
      </w:r>
      <w:r>
        <w:t xml:space="preserve">triple-barrier labelling; the three in-app model families (regularised logistic</w:t>
      </w:r>
      <w:r>
        <w:t xml:space="preserve"> </w:t>
      </w:r>
      <w:r>
        <w:t xml:space="preserve">regression, gradient-boosted decision trees, and a PCA latent-factor model built</w:t>
      </w:r>
      <w:r>
        <w:t xml:space="preserve"> </w:t>
      </w:r>
      <w:r>
        <w:t xml:space="preserve">on a from-scratch Jacobi eigensolver) and their ensemble; the metrics used to</w:t>
      </w:r>
      <w:r>
        <w:t xml:space="preserve"> </w:t>
      </w:r>
      <w:r>
        <w:t xml:space="preserve">judge them; and — most importantly — the</w:t>
      </w:r>
      <w:r>
        <w:t xml:space="preserve"> </w:t>
      </w:r>
      <w:r>
        <w:rPr>
          <w:b/>
          <w:bCs/>
        </w:rPr>
        <w:t xml:space="preserve">overfitting guards</w:t>
      </w:r>
      <w:r>
        <w:t xml:space="preserve"> </w:t>
      </w:r>
      <w:r>
        <w:t xml:space="preserve">(Probabilistic</w:t>
      </w:r>
      <w:r>
        <w:t xml:space="preserve"> </w:t>
      </w:r>
      <w:r>
        <w:t xml:space="preserve">and Deflated Sharpe ratios, and the Probability of Backtest Overfitting via</w:t>
      </w:r>
      <w:r>
        <w:t xml:space="preserve"> </w:t>
      </w:r>
      <w:r>
        <w:t xml:space="preserve">combinatorially-symmetric cross-validation) that form the publish gate. We also</w:t>
      </w:r>
      <w:r>
        <w:t xml:space="preserve"> </w:t>
      </w:r>
      <w:r>
        <w:t xml:space="preserve">document the point-in-time backtester, the rule-based strategies, the trading</w:t>
      </w:r>
      <w:r>
        <w:t xml:space="preserve"> </w:t>
      </w:r>
      <w:r>
        <w:t xml:space="preserve">bot’s risk gate and bracket/trailing-stop machinery, the portfolio analytics</w:t>
      </w:r>
      <w:r>
        <w:t xml:space="preserve"> </w:t>
      </w:r>
      <w:r>
        <w:t xml:space="preserve">(mean-variance optimisation, three-method Value-at-Risk, factor regression, DCF,</w:t>
      </w:r>
      <w:r>
        <w:t xml:space="preserve"> </w:t>
      </w:r>
      <w:r>
        <w:t xml:space="preserve">and time-value-of-money), and the power-markets desk (merit-order dispatch,</w:t>
      </w:r>
      <w:r>
        <w:t xml:space="preserve"> </w:t>
      </w:r>
      <w:r>
        <w:t xml:space="preserve">locational marginal pricing under transmission congestion, spark spreads, and a</w:t>
      </w:r>
      <w:r>
        <w:t xml:space="preserve"> </w:t>
      </w:r>
      <w:r>
        <w:t xml:space="preserve">Monte-Carlo heat-rate call option) derived from a Citadel power &amp; gas primer.</w:t>
      </w:r>
    </w:p>
    <w:p>
      <w:pPr>
        <w:pStyle w:val="BodyText"/>
      </w:pPr>
      <w:r>
        <w:t xml:space="preserve">A recurring theme is</w:t>
      </w:r>
      <w:r>
        <w:t xml:space="preserve"> </w:t>
      </w:r>
      <w:r>
        <w:rPr>
          <w:b/>
          <w:bCs/>
        </w:rPr>
        <w:t xml:space="preserve">intellectual honesty</w:t>
      </w:r>
      <w:r>
        <w:t xml:space="preserve">. The system is explicit about the</w:t>
      </w:r>
      <w:r>
        <w:t xml:space="preserve"> </w:t>
      </w:r>
      <w:r>
        <w:t xml:space="preserve">difference between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modelled</w:t>
      </w:r>
      <w:r>
        <w:t xml:space="preserve"> </w:t>
      </w:r>
      <w:r>
        <w:t xml:space="preserve">quantities, and its most important</w:t>
      </w:r>
      <w:r>
        <w:t xml:space="preserve"> </w:t>
      </w:r>
      <w:r>
        <w:t xml:space="preserve">design decision — the publish gate — is built to reject models that do not</w:t>
      </w:r>
      <w:r>
        <w:t xml:space="preserve"> </w:t>
      </w:r>
      <w:r>
        <w:t xml:space="preserve">demonstrably beat a buy-and-hold benchmark out of sample. As documented in</w:t>
      </w:r>
      <w:r>
        <w:t xml:space="preserve"> </w:t>
      </w:r>
      <w:r>
        <w:t xml:space="preserve">Section 16, none of the daily-bar models currently clear that bar. We treat that</w:t>
      </w:r>
      <w:r>
        <w:t xml:space="preserve"> </w:t>
      </w:r>
      <w:r>
        <w:t xml:space="preserve">as the tooling working correctly, not as a failure to be tuned away.</w:t>
      </w:r>
    </w:p>
    <w:p>
      <w:r>
        <w:pict>
          <v:rect style="width:0;height:1.5pt" o:hralign="center" o:hrstd="t" o:hr="t"/>
        </w:pict>
      </w:r>
    </w:p>
    <w:bookmarkEnd w:id="9"/>
    <w:bookmarkStart w:id="14" w:name="introduction-and-motivation"/>
    <w:p>
      <w:pPr>
        <w:pStyle w:val="Heading2"/>
      </w:pPr>
      <w:r>
        <w:t xml:space="preserve">1. Introduction and Motivation</w:t>
      </w:r>
    </w:p>
    <w:p>
      <w:pPr>
        <w:pStyle w:val="FirstParagraph"/>
      </w:pPr>
      <w:r>
        <w:t xml:space="preserve">Professional trading terminals — the Bloomberg Terminal being the archetype —</w:t>
      </w:r>
      <w:r>
        <w:t xml:space="preserve"> </w:t>
      </w:r>
      <w:r>
        <w:t xml:space="preserve">succeed because they collapse the distance between a question and its answer. A</w:t>
      </w:r>
      <w:r>
        <w:t xml:space="preserve"> </w:t>
      </w:r>
      <w:r>
        <w:t xml:space="preserve">trader types a ticker and a mnemonic and is instantly looking at the relevant</w:t>
      </w:r>
      <w:r>
        <w:t xml:space="preserve"> </w:t>
      </w:r>
      <w:r>
        <w:t xml:space="preserve">chart, fundamental, or analytic. QuantBloom pursues the same ergonomic goal in a</w:t>
      </w:r>
      <w:r>
        <w:t xml:space="preserve"> </w:t>
      </w:r>
      <w:r>
        <w:t xml:space="preserve">browser, but with a second, equally important commitment:</w:t>
      </w:r>
      <w:r>
        <w:t xml:space="preserve"> </w:t>
      </w:r>
      <w:r>
        <w:rPr>
          <w:b/>
          <w:bCs/>
        </w:rPr>
        <w:t xml:space="preserve">every number it</w:t>
      </w:r>
      <w:r>
        <w:rPr>
          <w:b/>
          <w:bCs/>
        </w:rPr>
        <w:t xml:space="preserve"> </w:t>
      </w:r>
      <w:r>
        <w:rPr>
          <w:b/>
          <w:bCs/>
        </w:rPr>
        <w:t xml:space="preserve">shows should be traceable to a tested computation, and every modelled quantity</w:t>
      </w:r>
      <w:r>
        <w:rPr>
          <w:b/>
          <w:bCs/>
        </w:rPr>
        <w:t xml:space="preserve"> </w:t>
      </w:r>
      <w:r>
        <w:rPr>
          <w:b/>
          <w:bCs/>
        </w:rPr>
        <w:t xml:space="preserve">should be labelled as such.</w:t>
      </w:r>
    </w:p>
    <w:p>
      <w:pPr>
        <w:pStyle w:val="BodyText"/>
      </w:pPr>
      <w:r>
        <w:t xml:space="preserve">The terminal is organised as a dashboard of independent panels. Each panel is a</w:t>
      </w:r>
      <w:r>
        <w:t xml:space="preserve"> </w:t>
      </w:r>
      <w:r>
        <w:t xml:space="preserve">self-contained React component that polls the API for the data it needs and</w:t>
      </w:r>
      <w:r>
        <w:t xml:space="preserve"> </w:t>
      </w:r>
      <w:r>
        <w:t xml:space="preserve">renders a focused view — a chart, a screener, a risk report, a pricing</w:t>
      </w:r>
      <w:r>
        <w:t xml:space="preserve"> </w:t>
      </w:r>
      <w:r>
        <w:t xml:space="preserve">calculator. A global command palette (</w:t>
      </w:r>
      <w:r>
        <w:rPr>
          <w:rStyle w:val="VerbatimChar"/>
        </w:rPr>
        <w:t xml:space="preserve">Ctrl+K</w:t>
      </w:r>
      <w:r>
        <w:t xml:space="preserve">, the Bloomberg</w:t>
      </w:r>
      <w:r>
        <w:t xml:space="preserve"> </w:t>
      </w:r>
      <w:r>
        <w:rPr>
          <w:rStyle w:val="VerbatimChar"/>
        </w:rPr>
        <w:t xml:space="preserve">TICKER &lt;GO&gt;</w:t>
      </w:r>
      <w:r>
        <w:t xml:space="preserve"> </w:t>
      </w:r>
      <w:r>
        <w:t xml:space="preserve">pattern) sets the active symbol across the whole terminal or jumps to any panel;</w:t>
      </w:r>
      <w:r>
        <w:t xml:space="preserve"> </w:t>
      </w:r>
      <w:r>
        <w:t xml:space="preserve">any panel can be popped out into its own live browser window (</w:t>
      </w:r>
      <w:r>
        <w:rPr>
          <w:rStyle w:val="VerbatimChar"/>
        </w:rPr>
        <w:t xml:space="preserve">Ctrl+Shift+M</w:t>
      </w:r>
      <w:r>
        <w:t xml:space="preserve">) to</w:t>
      </w:r>
      <w:r>
        <w:t xml:space="preserve"> </w:t>
      </w:r>
      <w:r>
        <w:t xml:space="preserve">spread work across monitors.</w:t>
      </w:r>
    </w:p>
    <w:p>
      <w:pPr>
        <w:pStyle w:val="CaptionedFigure"/>
      </w:pPr>
      <w:r>
        <w:drawing>
          <wp:inline>
            <wp:extent cx="5334000" cy="3037416"/>
            <wp:effectExtent b="0" l="0" r="0" t="0"/>
            <wp:docPr descr="The QuantBloom hero view: navigation, the cross-asset ticker, and the primary chart with a moving-average overlay." title="" id="11" name="Picture"/>
            <a:graphic>
              <a:graphicData uri="http://schemas.openxmlformats.org/drawingml/2006/picture">
                <pic:pic>
                  <pic:nvPicPr>
                    <pic:cNvPr descr="img/hero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7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QuantBloom hero view: navigation, the cross-asset ticker, and the primary</w:t>
      </w:r>
      <w:r>
        <w:t xml:space="preserve"> </w:t>
      </w:r>
      <w:r>
        <w:t xml:space="preserve">chart with a moving-average overlay.</w:t>
      </w:r>
    </w:p>
    <w:p>
      <w:pPr>
        <w:pStyle w:val="BodyText"/>
      </w:pPr>
      <w:r>
        <w:rPr>
          <w:i/>
          <w:iCs/>
        </w:rPr>
        <w:t xml:space="preserve">Figure 1. The terminal hero — command bar, cross-asset ticker tape,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primary interactive chart.</w:t>
      </w:r>
    </w:p>
    <w:p>
      <w:pPr>
        <w:pStyle w:val="BodyText"/>
      </w:pPr>
      <w:r>
        <w:t xml:space="preserve">Beneath the UI sit three intellectual pillars, each of which this paper treats</w:t>
      </w:r>
      <w:r>
        <w:t xml:space="preserve"> </w:t>
      </w:r>
      <w:r>
        <w:t xml:space="preserve">in detail: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Signal research</w:t>
      </w:r>
      <w:r>
        <w:t xml:space="preserve"> </w:t>
      </w:r>
      <w:r>
        <w:t xml:space="preserve">— a supervised-learning pipeline that turns OHLCV bars</w:t>
      </w:r>
      <w:r>
        <w:t xml:space="preserve"> </w:t>
      </w:r>
      <w:r>
        <w:t xml:space="preserve">into point-in-time features, labels them with a triple-barrier scheme, trains</w:t>
      </w:r>
      <w:r>
        <w:t xml:space="preserve"> </w:t>
      </w:r>
      <w:r>
        <w:t xml:space="preserve">several model families, and — crucially — refuses to</w:t>
      </w:r>
      <w:r>
        <w:t xml:space="preserve"> </w:t>
      </w:r>
      <w:r>
        <w:t xml:space="preserve">“publish”</w:t>
      </w:r>
      <w:r>
        <w:t xml:space="preserve"> </w:t>
      </w:r>
      <w:r>
        <w:t xml:space="preserve">a model that</w:t>
      </w:r>
      <w:r>
        <w:t xml:space="preserve"> </w:t>
      </w:r>
      <w:r>
        <w:t xml:space="preserve">cannot beat buy-and-hold out of sample after correction for multiple testing.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Execution</w:t>
      </w:r>
      <w:r>
        <w:t xml:space="preserve"> </w:t>
      </w:r>
      <w:r>
        <w:t xml:space="preserve">— a paper-trading bot whose every order passes a hard-coded</w:t>
      </w:r>
      <w:r>
        <w:t xml:space="preserve"> </w:t>
      </w:r>
      <w:r>
        <w:t xml:space="preserve">risk gate, can carry broker-side stop-loss/take-profit brackets and a live</w:t>
      </w:r>
      <w:r>
        <w:t xml:space="preserve"> </w:t>
      </w:r>
      <w:r>
        <w:t xml:space="preserve">trailing stop, and can be driven either by transparent rule strategies or by</w:t>
      </w:r>
      <w:r>
        <w:t xml:space="preserve"> </w:t>
      </w:r>
      <w:r>
        <w:t xml:space="preserve">a selected ML model.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 a broad set of desk tools: mean-variance portfolio</w:t>
      </w:r>
      <w:r>
        <w:t xml:space="preserve"> </w:t>
      </w:r>
      <w:r>
        <w:t xml:space="preserve">optimisation, three-method VaR, factor regression, discounted-cash-flow</w:t>
      </w:r>
      <w:r>
        <w:t xml:space="preserve"> </w:t>
      </w:r>
      <w:r>
        <w:t xml:space="preserve">valuation, time-value-of-money, and a power-markets pricing desk.</w:t>
      </w:r>
    </w:p>
    <w:bookmarkStart w:id="13" w:name="design-principles"/>
    <w:p>
      <w:pPr>
        <w:pStyle w:val="Heading3"/>
      </w:pPr>
      <w:r>
        <w:t xml:space="preserve">1.1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Tested maths, not trusted maths.</w:t>
      </w:r>
      <w:r>
        <w:t xml:space="preserve"> </w:t>
      </w:r>
      <w:r>
        <w:t xml:space="preserve">Anything that produces a number a user</w:t>
      </w:r>
      <w:r>
        <w:t xml:space="preserve"> </w:t>
      </w:r>
      <w:r>
        <w:t xml:space="preserve">might act on lives in a pure module with a dedicated test file that asserts</w:t>
      </w:r>
      <w:r>
        <w:t xml:space="preserve"> </w:t>
      </w:r>
      <w:r>
        <w:t xml:space="preserve">its</w:t>
      </w:r>
      <w:r>
        <w:t xml:space="preserve"> </w:t>
      </w:r>
      <w:r>
        <w:rPr>
          <w:i/>
          <w:iCs/>
        </w:rPr>
        <w:t xml:space="preserve">defining properties</w:t>
      </w:r>
      <w:r>
        <w:t xml:space="preserve">, not merely that it 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Point-in-time everywhere.</w:t>
      </w:r>
      <w:r>
        <w:t xml:space="preserve"> </w:t>
      </w:r>
      <w:r>
        <w:t xml:space="preserve">Both the live signal path and the backtester</w:t>
      </w:r>
      <w:r>
        <w:t xml:space="preserve"> </w:t>
      </w:r>
      <w:r>
        <w:t xml:space="preserve">compute features from bars</w:t>
      </w:r>
      <w:r>
        <w:t xml:space="preserve"> </w:t>
      </w:r>
      <w:r>
        <w:rPr>
          <w:rStyle w:val="VerbatimChar"/>
        </w:rPr>
        <w:t xml:space="preserve">[0..t]</w:t>
      </w:r>
      <w:r>
        <w:t xml:space="preserve"> </w:t>
      </w:r>
      <w:r>
        <w:t xml:space="preserve">only; a model never sees a bar it could</w:t>
      </w:r>
      <w:r>
        <w:t xml:space="preserve"> </w:t>
      </w:r>
      <w:r>
        <w:t xml:space="preserve">not have seen in production. Train/live feature parity is enforced.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Observed vs. modelled.</w:t>
      </w:r>
      <w:r>
        <w:t xml:space="preserve"> </w:t>
      </w:r>
      <w:r>
        <w:t xml:space="preserve">Panels that display a model (DCF, VaR, the power</w:t>
      </w:r>
      <w:r>
        <w:t xml:space="preserve"> </w:t>
      </w:r>
      <w:r>
        <w:t xml:space="preserve">desk, any ML signal) say so in the interface. The system never presents a</w:t>
      </w:r>
      <w:r>
        <w:t xml:space="preserve"> </w:t>
      </w:r>
      <w:r>
        <w:t xml:space="preserve">simulation as an observation.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 gating.</w:t>
      </w:r>
      <w:r>
        <w:t xml:space="preserve"> </w:t>
      </w:r>
      <w:r>
        <w:t xml:space="preserve">The publish gate is deliberately demanding. Most strategies</w:t>
      </w:r>
      <w:r>
        <w:t xml:space="preserve"> </w:t>
      </w:r>
      <w:r>
        <w:t xml:space="preserve">fail it, which is the correct outcome for daily-bar technical analysis on</w:t>
      </w:r>
      <w:r>
        <w:t xml:space="preserve"> </w:t>
      </w:r>
      <w:r>
        <w:t xml:space="preserve">liquid names.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ystem-architecture"/>
    <w:p>
      <w:pPr>
        <w:pStyle w:val="Heading2"/>
      </w:pPr>
      <w:r>
        <w:t xml:space="preserve">2. System Architecture</w:t>
      </w:r>
    </w:p>
    <w:bookmarkStart w:id="15" w:name="runtime-shape"/>
    <w:p>
      <w:pPr>
        <w:pStyle w:val="Heading3"/>
      </w:pPr>
      <w:r>
        <w:t xml:space="preserve">2.1 Runtime shape</w:t>
      </w:r>
    </w:p>
    <w:p>
      <w:pPr>
        <w:pStyle w:val="FirstParagraph"/>
      </w:pPr>
      <w:r>
        <w:t xml:space="preserve">QuantBloom is two processes: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React 18 + Vite</w:t>
      </w:r>
      <w:r>
        <w:t xml:space="preserve"> </w:t>
      </w:r>
      <w:r>
        <w:t xml:space="preserve">front end (</w:t>
      </w:r>
      <w:r>
        <w:rPr>
          <w:rStyle w:val="VerbatimChar"/>
        </w:rPr>
        <w:t xml:space="preserve">src/</w:t>
      </w:r>
      <w:r>
        <w:t xml:space="preserve">) that renders the terminal and holds</w:t>
      </w:r>
      <w:r>
        <w:t xml:space="preserve"> </w:t>
      </w:r>
      <w:r>
        <w:t xml:space="preserve">all UI state through the React Context API and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Express</w:t>
      </w:r>
      <w:r>
        <w:t xml:space="preserve"> </w:t>
      </w:r>
      <w:r>
        <w:t xml:space="preserve">API (</w:t>
      </w:r>
      <w:r>
        <w:rPr>
          <w:rStyle w:val="VerbatimChar"/>
        </w:rPr>
        <w:t xml:space="preserve">server.js</w:t>
      </w:r>
      <w:r>
        <w:t xml:space="preserve">, ~2,900 lines) that proxies market data,</w:t>
      </w:r>
      <w:r>
        <w:t xml:space="preserve"> </w:t>
      </w:r>
      <w:r>
        <w:t xml:space="preserve">computes the shared technical-indicator payload, and hosts the bot, backtest,</w:t>
      </w:r>
      <w:r>
        <w:t xml:space="preserve"> </w:t>
      </w:r>
      <w:r>
        <w:t xml:space="preserve">and model-training routes (~50 routes in total).</w:t>
      </w:r>
    </w:p>
    <w:p>
      <w:pPr>
        <w:pStyle w:val="FirstParagraph"/>
      </w:pPr>
      <w:r>
        <w:t xml:space="preserve">For local or Docker deployment the Express server also serves the built</w:t>
      </w:r>
      <w:r>
        <w:t xml:space="preserve"> </w:t>
      </w:r>
      <w:r>
        <w:t xml:space="preserve">front-end, so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 </w:t>
      </w:r>
      <w:r>
        <w:t xml:space="preserve">is a single self-contained process. On a</w:t>
      </w:r>
      <w:r>
        <w:t xml:space="preserve"> </w:t>
      </w:r>
      <w:r>
        <w:t xml:space="preserve">serverless host (Vercel) the same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is exported as a function; the stateful</w:t>
      </w:r>
      <w:r>
        <w:t xml:space="preserve"> </w:t>
      </w:r>
      <w:r>
        <w:t xml:space="preserve">trading bot and file-based model persistence degrade gracefully to in-memory</w:t>
      </w:r>
      <w:r>
        <w:t xml:space="preserve"> </w:t>
      </w:r>
      <w:r>
        <w:t xml:space="preserve">there, and the UI documents that the bot needs a persistent process.</w:t>
      </w:r>
    </w:p>
    <w:bookmarkEnd w:id="15"/>
    <w:bookmarkStart w:id="16" w:name="module-layout"/>
    <w:p>
      <w:pPr>
        <w:pStyle w:val="Heading3"/>
      </w:pPr>
      <w:r>
        <w:t xml:space="preserve">2.2 Module layout</w:t>
      </w:r>
    </w:p>
    <w:p>
      <w:pPr>
        <w:pStyle w:val="FirstParagraph"/>
      </w:pPr>
      <w:r>
        <w:t xml:space="preserve">The numerically important code is deliberately isolated from the UI and the</w:t>
      </w:r>
      <w:r>
        <w:t xml:space="preserve"> </w:t>
      </w:r>
      <w:r>
        <w:t xml:space="preserve">server so it can be tested in a plain Node process: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Module(s)</w:t>
            </w:r>
          </w:p>
        </w:tc>
        <w:tc>
          <w:tcPr/>
          <w:p>
            <w:pPr>
              <w:pStyle w:val="Compact"/>
            </w:pPr>
            <w:r>
              <w:t xml:space="preserve">Tested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pricing &amp; Greeks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blackscholes.js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test/blackscholes.test.mjs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regression.js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test/regression.test.mjs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Mean-variance optimisation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portfolio-math.js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test/portfolio-math.test.mjs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engineering &amp;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bot/features.js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/ PCA / ensemble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bot/model.js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test/model.test.mjs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test/ensemble.test.mjs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Gradient-boosted trees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bot/gbm.js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test/gbm.test.mjs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Eigendecomposition (Jacobi)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bot/eigen.js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test/eigen.test.mjs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bot/pca.js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test/pca.test.mjs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Overfitting 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bot/statistics.js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test/statistics.test.mjs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Backtester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bot/backtest.js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test/backtest.test.mjs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bot/risk-gate.js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test/risk-gate.test.mjs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Brackets / trailing 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bot/brackets.js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test/brackets.test.mjs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bot/strategies.js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test/contrarian.test.mjs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Chart-type transforms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charting/chart-types.js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test/chart-types.test.mjs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charting/indicators.js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test/indicators-series.test.mjs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Drawing maths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charting/drawing-math.js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test/drawing-math.test.mjs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profile &amp;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charting/volume-profile.js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test/volume-profile.test.mjs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Bar-replay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charting/replay.js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test/replay.test.mjs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 interpreter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charting/formula.js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test/formula.test.mjs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markets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charting/power.js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test/power.test.mjs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value of money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bot/tvm.js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test/tvm.test.mjs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Command-palette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src/lib/command.js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test/command.test.mjs</w:t>
            </w:r>
          </w:p>
        </w:tc>
      </w:tr>
    </w:tbl>
    <w:p>
      <w:pPr>
        <w:pStyle w:val="BodyText"/>
      </w:pPr>
      <w:r>
        <w:t xml:space="preserve">The rule is uniform: a panel is a thin rendering layer over a tested module.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rket-data-layer"/>
    <w:p>
      <w:pPr>
        <w:pStyle w:val="Heading2"/>
      </w:pPr>
      <w:r>
        <w:t xml:space="preserve">3. Market-Data Layer</w:t>
      </w:r>
    </w:p>
    <w:p>
      <w:pPr>
        <w:pStyle w:val="FirstParagraph"/>
      </w:pPr>
      <w:r>
        <w:t xml:space="preserve">QuantBloom runs on free-tier and public data. Yahoo Finance (no key required)</w:t>
      </w:r>
      <w:r>
        <w:t xml:space="preserve"> </w:t>
      </w:r>
      <w:r>
        <w:t xml:space="preserve">provides OHLCV candles across timeframes and powers charts, quotes, screeners,</w:t>
      </w:r>
      <w:r>
        <w:t xml:space="preserve"> </w:t>
      </w:r>
      <w:r>
        <w:t xml:space="preserve">backtests, and the entire model lab. Optional keyed providers enrich specific</w:t>
      </w:r>
      <w:r>
        <w:t xml:space="preserve"> </w:t>
      </w:r>
      <w:r>
        <w:t xml:space="preserve">panels — Finnhub (fundamentals, analyst ratings, calendars), FRED (macro and the</w:t>
      </w:r>
      <w:r>
        <w:t xml:space="preserve"> </w:t>
      </w:r>
      <w:r>
        <w:t xml:space="preserve">yield curve), Alpha Vantage (quote fallback), Marketaux and NewsAPI (news with</w:t>
      </w:r>
      <w:r>
        <w:t xml:space="preserve"> </w:t>
      </w:r>
      <w:r>
        <w:t xml:space="preserve">sentiment). A missing key disables only the panel that needs it; the terminal</w:t>
      </w:r>
      <w:r>
        <w:t xml:space="preserve"> </w:t>
      </w:r>
      <w:r>
        <w:t xml:space="preserve">runs with none set.</w:t>
      </w:r>
    </w:p>
    <w:p>
      <w:pPr>
        <w:pStyle w:val="BodyText"/>
      </w:pPr>
      <w:r>
        <w:t xml:space="preserve">The server maintains a small in-memory cache to smooth polling and shares one</w:t>
      </w:r>
      <w:r>
        <w:t xml:space="preserve"> </w:t>
      </w:r>
      <w:r>
        <w:t xml:space="preserve">canonical</w:t>
      </w:r>
      <w:r>
        <w:t xml:space="preserve"> </w:t>
      </w:r>
      <w:r>
        <w:rPr>
          <w:b/>
          <w:bCs/>
        </w:rPr>
        <w:t xml:space="preserve">technical-analysis payload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bot/indicators.js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computeTechnical</w:t>
      </w:r>
      <w:r>
        <w:t xml:space="preserve">) between the live</w:t>
      </w:r>
      <w:r>
        <w:t xml:space="preserve"> </w:t>
      </w:r>
      <w:r>
        <w:rPr>
          <w:rStyle w:val="VerbatimChar"/>
        </w:rPr>
        <w:t xml:space="preserve">/api/v1/technical</w:t>
      </w:r>
      <w:r>
        <w:t xml:space="preserve"> </w:t>
      </w:r>
      <w:r>
        <w:t xml:space="preserve">route and the</w:t>
      </w:r>
      <w:r>
        <w:t xml:space="preserve"> </w:t>
      </w:r>
      <w:r>
        <w:t xml:space="preserve">backtester, so a rule strategy sees byte-identical indicator inputs whether it is</w:t>
      </w:r>
      <w:r>
        <w:t xml:space="preserve"> </w:t>
      </w:r>
      <w:r>
        <w:t xml:space="preserve">running live or being backtested. This is a deliberate anti-divergence measure:</w:t>
      </w:r>
      <w:r>
        <w:t xml:space="preserve"> </w:t>
      </w:r>
      <w:r>
        <w:t xml:space="preserve">the single most common source of</w:t>
      </w:r>
      <w:r>
        <w:t xml:space="preserve"> </w:t>
      </w:r>
      <w:r>
        <w:t xml:space="preserve">“it worked in the backtest”</w:t>
      </w:r>
      <w:r>
        <w:t xml:space="preserve"> </w:t>
      </w:r>
      <w:r>
        <w:t xml:space="preserve">errors is a</w:t>
      </w:r>
      <w:r>
        <w:t xml:space="preserve"> </w:t>
      </w:r>
      <w:r>
        <w:t xml:space="preserve">mismatch between research and production feature code.</w:t>
      </w:r>
    </w:p>
    <w:p>
      <w:r>
        <w:pict>
          <v:rect style="width:0;height:1.5pt" o:hralign="center" o:hrstd="t" o:hr="t"/>
        </w:pict>
      </w:r>
    </w:p>
    <w:bookmarkEnd w:id="18"/>
    <w:bookmarkStart w:id="30" w:name="the-charting-engine"/>
    <w:p>
      <w:pPr>
        <w:pStyle w:val="Heading2"/>
      </w:pPr>
      <w:r>
        <w:t xml:space="preserve">4. The Charting Engine</w:t>
      </w:r>
    </w:p>
    <w:p>
      <w:pPr>
        <w:pStyle w:val="FirstParagraph"/>
      </w:pPr>
      <w:r>
        <w:t xml:space="preserve">The chart is built on</w:t>
      </w:r>
      <w:r>
        <w:t xml:space="preserve"> </w:t>
      </w:r>
      <w:r>
        <w:rPr>
          <w:rStyle w:val="VerbatimChar"/>
        </w:rPr>
        <w:t xml:space="preserve">lightweight-charts</w:t>
      </w:r>
      <w:r>
        <w:t xml:space="preserve"> </w:t>
      </w:r>
      <w:r>
        <w:t xml:space="preserve">and extended with a family of tested,</w:t>
      </w:r>
      <w:r>
        <w:t xml:space="preserve"> </w:t>
      </w:r>
      <w:r>
        <w:t xml:space="preserve">clean-room implementations of standard chart constructions and indicators.</w:t>
      </w:r>
    </w:p>
    <w:bookmarkStart w:id="19" w:name="chart-types"/>
    <w:p>
      <w:pPr>
        <w:pStyle w:val="Heading3"/>
      </w:pPr>
      <w:r>
        <w:t xml:space="preserve">4.1 Chart types</w:t>
      </w:r>
    </w:p>
    <w:p>
      <w:pPr>
        <w:pStyle w:val="FirstParagraph"/>
      </w:pPr>
      <w:r>
        <w:t xml:space="preserve">Eight chart types are available. Several are native series styles; three are</w:t>
      </w:r>
      <w:r>
        <w:t xml:space="preserve"> </w:t>
      </w:r>
      <w:r>
        <w:t xml:space="preserve">deterministic transforms of the candle series implemented in</w:t>
      </w:r>
      <w:r>
        <w:t xml:space="preserve"> </w:t>
      </w:r>
      <w:r>
        <w:rPr>
          <w:rStyle w:val="VerbatimChar"/>
        </w:rPr>
        <w:t xml:space="preserve">charting/chart-types.js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Heikin-Ashi.</w:t>
      </w:r>
      <w:r>
        <w:t xml:space="preserve"> </w:t>
      </w:r>
      <w:r>
        <w:t xml:space="preserve">A smoothing transform that averages the OHLC to damp noise: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HA</m:t>
                  </m:r>
                </m:e>
                <m:sub>
                  <m:r>
                    <m:rPr>
                      <m:nor/>
                      <m:sty m:val="p"/>
                    </m:rPr>
                    <m:t>close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rPr>
                      <m:nor/>
                      <m:sty m:val="p"/>
                    </m:rPr>
                    <m:t>HA</m:t>
                  </m:r>
                </m:e>
                <m:sub>
                  <m:r>
                    <m:rPr>
                      <m:nor/>
                      <m:sty m:val="p"/>
                    </m:rPr>
                    <m:t>open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nor/>
                          <m:sty m:val="p"/>
                        </m:rPr>
                        <m:t>HA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open</m:t>
                      </m:r>
                    </m:sub>
                    <m:sup>
                      <m:r>
                        <m:t> 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nor/>
                          <m:sty m:val="p"/>
                        </m:rPr>
                        <m:t>HA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close</m:t>
                      </m:r>
                    </m:sub>
                    <m:sup>
                      <m:r>
                        <m:t> 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</m:e>
              </m:d>
            </m:e>
            <m:e>
              <m:sSub>
                <m:e>
                  <m:r>
                    <m:rPr>
                      <m:nor/>
                      <m:sty m:val="p"/>
                    </m:rPr>
                    <m:t>HA</m:t>
                  </m:r>
                </m:e>
                <m:sub>
                  <m:r>
                    <m:rPr>
                      <m:nor/>
                      <m:sty m:val="p"/>
                    </m:rPr>
                    <m:t>high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HA</m:t>
                  </m:r>
                </m:e>
                <m:sub>
                  <m:r>
                    <m:rPr>
                      <m:nor/>
                      <m:sty m:val="p"/>
                    </m:rPr>
                    <m:t>open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HA</m:t>
                  </m:r>
                </m:e>
                <m:sub>
                  <m:r>
                    <m:rPr>
                      <m:nor/>
                      <m:sty m:val="p"/>
                    </m:rPr>
                    <m:t>close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rPr>
                      <m:nor/>
                      <m:sty m:val="p"/>
                    </m:rPr>
                    <m:t>HA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HA</m:t>
                  </m:r>
                </m:e>
                <m:sub>
                  <m:r>
                    <m:rPr>
                      <m:nor/>
                      <m:sty m:val="p"/>
                    </m:rPr>
                    <m:t>open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HA</m:t>
                  </m:r>
                </m:e>
                <m:sub>
                  <m:r>
                    <m:rPr>
                      <m:nor/>
                      <m:sty m:val="p"/>
                    </m:rPr>
                    <m:t>close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seed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HA</m:t>
            </m:r>
          </m:e>
          <m:sub>
            <m:r>
              <m:rPr>
                <m:nor/>
                <m:sty m:val="p"/>
              </m:rPr>
              <m:t>open</m:t>
            </m:r>
          </m:sub>
          <m:sup>
            <m:r>
              <m:t> </m:t>
            </m:r>
            <m:r>
              <m:t>0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 The</w:t>
      </w:r>
      <w:r>
        <w:t xml:space="preserve"> </w:t>
      </w:r>
      <w:r>
        <w:t xml:space="preserve">transform preserves the time axis one-to-one; the test suite asserts that the</w:t>
      </w:r>
      <w:r>
        <w:t xml:space="preserve"> </w:t>
      </w:r>
      <w:r>
        <w:t xml:space="preserve">close equals the OHLC mean, the open is the average of the previous HA open/close,</w:t>
      </w:r>
      <w:r>
        <w:t xml:space="preserve"> </w:t>
      </w:r>
      <w:r>
        <w:t xml:space="preserve">and the high/low bound both the HA body and the true range.</w:t>
      </w:r>
    </w:p>
    <w:p>
      <w:pPr>
        <w:pStyle w:val="BodyText"/>
      </w:pPr>
      <w:r>
        <w:rPr>
          <w:b/>
          <w:bCs/>
        </w:rPr>
        <w:t xml:space="preserve">Renko</w:t>
      </w:r>
      <w:r>
        <w:t xml:space="preserve"> </w:t>
      </w:r>
      <w:r>
        <w:t xml:space="preserve">rebuilds the series as fixed-size</w:t>
      </w:r>
      <w:r>
        <w:t xml:space="preserve"> </w:t>
      </w:r>
      <w:r>
        <w:t xml:space="preserve">“bricks”</w:t>
      </w:r>
      <w:r>
        <w:t xml:space="preserve">: a new brick of height equal</w:t>
      </w:r>
      <w:r>
        <w:t xml:space="preserve"> </w:t>
      </w:r>
      <w:r>
        <w:t xml:space="preserve">to the box size (defaulting to the average true range) is emitted only when price</w:t>
      </w:r>
      <w:r>
        <w:t xml:space="preserve"> </w:t>
      </w:r>
      <w:r>
        <w:t xml:space="preserve">moves a full box beyond the last brick’s close, discarding sub-box noise. Because</w:t>
      </w:r>
      <w:r>
        <w:t xml:space="preserve"> </w:t>
      </w:r>
      <w:r>
        <w:t xml:space="preserve">Renko and Line-Break have no uniform time axis, bricks are emitted with strictly</w:t>
      </w:r>
      <w:r>
        <w:t xml:space="preserve"> </w:t>
      </w:r>
      <w:r>
        <w:t xml:space="preserve">increasing synthetic times so a candlestick renderer can display them.</w:t>
      </w:r>
    </w:p>
    <w:p>
      <w:pPr>
        <w:pStyle w:val="BodyText"/>
      </w:pPr>
      <w:r>
        <w:rPr>
          <w:b/>
          <w:bCs/>
        </w:rPr>
        <w:t xml:space="preserve">N-line break</w:t>
      </w:r>
      <w:r>
        <w:t xml:space="preserve"> </w:t>
      </w:r>
      <w:r>
        <w:t xml:space="preserve">(default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) draws a new line only when the close breaks</w:t>
      </w:r>
      <w:r>
        <w:t xml:space="preserve"> </w:t>
      </w:r>
      <w:r>
        <w:t xml:space="preserve">beyond the extreme of the last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lines; smaller moves are absorbed, so a</w:t>
      </w:r>
      <w:r>
        <w:t xml:space="preserve"> </w:t>
      </w:r>
      <w:r>
        <w:t xml:space="preserve">reversal requires conviction.</w:t>
      </w:r>
    </w:p>
    <w:bookmarkEnd w:id="19"/>
    <w:bookmarkStart w:id="20" w:name="indicator-series-library"/>
    <w:p>
      <w:pPr>
        <w:pStyle w:val="Heading3"/>
      </w:pPr>
      <w:r>
        <w:t xml:space="preserve">4.2 Indicator series library</w:t>
      </w:r>
    </w:p>
    <w:p>
      <w:pPr>
        <w:pStyle w:val="FirstParagraph"/>
      </w:pPr>
      <w:r>
        <w:rPr>
          <w:rStyle w:val="VerbatimChar"/>
        </w:rPr>
        <w:t xml:space="preserve">charting/indicators.js</w:t>
      </w:r>
      <w:r>
        <w:t xml:space="preserve"> </w:t>
      </w:r>
      <w:r>
        <w:t xml:space="preserve">computes full</w:t>
      </w:r>
      <w:r>
        <w:t xml:space="preserve"> </w:t>
      </w:r>
      <w:r>
        <w:rPr>
          <w:b/>
          <w:bCs/>
        </w:rPr>
        <w:t xml:space="preserve">series</w:t>
      </w:r>
      <w:r>
        <w:t xml:space="preserve"> </w:t>
      </w:r>
      <w:r>
        <w:t xml:space="preserve">(not the point-in-time</w:t>
      </w:r>
      <w:r>
        <w:t xml:space="preserve"> </w:t>
      </w:r>
      <w:r>
        <w:t xml:space="preserve">snapshots the bot uses) for plotting. It provides SMA, EMA, WMA, anchored VWAP,</w:t>
      </w:r>
      <w:r>
        <w:t xml:space="preserve"> </w:t>
      </w:r>
      <w:r>
        <w:t xml:space="preserve">Bollinger, Keltner, Donchian, Parabolic SAR and SuperTrend as price overlays, and</w:t>
      </w:r>
      <w:r>
        <w:t xml:space="preserve"> </w:t>
      </w:r>
      <w:r>
        <w:t xml:space="preserve">RSI, MACD, Stochastic, CCI, Williams %R, ATR and OBV as sub-pane oscillators. A</w:t>
      </w:r>
      <w:r>
        <w:t xml:space="preserve"> </w:t>
      </w:r>
      <w:r>
        <w:t xml:space="preserve">registry carries each indicator’s pane, colour, and parameters so the overlay</w:t>
      </w:r>
      <w:r>
        <w:t xml:space="preserve"> </w:t>
      </w:r>
      <w:r>
        <w:t xml:space="preserve">manager is data-driven. Representative definitions: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EMA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nor/>
                  <m:sty m:val="p"/>
                </m:rPr>
                <m:t>EMA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RSI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RS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RS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nor/>
                          <m:sty m:val="p"/>
                        </m:rPr>
                        <m:t>gain</m:t>
                      </m:r>
                    </m:e>
                  </m:ba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nor/>
                          <m:sty m:val="p"/>
                        </m:rPr>
                        <m:t>loss</m:t>
                      </m:r>
                    </m:e>
                  </m:ba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with Wilder’s smoothing of the average gain and loss. The test suite asserts the</w:t>
      </w:r>
      <w:r>
        <w:t xml:space="preserve"> </w:t>
      </w:r>
      <w:r>
        <w:t xml:space="preserve">defining behaviours — RSI is 100 on a monotonic rise and ~0 on a decline and stays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; the MACD histogram equals MACD minus signal; Bollinger bands</w:t>
      </w:r>
      <w:r>
        <w:t xml:space="preserve"> </w:t>
      </w:r>
      <w:r>
        <w:t xml:space="preserve">straddle the middle band and widen with volatility; Donchian’s upper/lower equal</w:t>
      </w:r>
      <w:r>
        <w:t xml:space="preserve"> </w:t>
      </w:r>
      <w:r>
        <w:t xml:space="preserve">the rolling max-high/min-low; OBV rises on up-closes and falls on down-closes.</w:t>
      </w:r>
    </w:p>
    <w:bookmarkEnd w:id="20"/>
    <w:bookmarkStart w:id="21" w:name="volume-profile-and-market-structure"/>
    <w:p>
      <w:pPr>
        <w:pStyle w:val="Heading3"/>
      </w:pPr>
      <w:r>
        <w:t xml:space="preserve">4.3 Volume profile and market structure</w:t>
      </w:r>
    </w:p>
    <w:p>
      <w:pPr>
        <w:pStyle w:val="FirstParagraph"/>
      </w:pPr>
      <w:r>
        <w:rPr>
          <w:rStyle w:val="VerbatimChar"/>
        </w:rPr>
        <w:t xml:space="preserve">charting/volume-profile.js</w:t>
      </w:r>
      <w:r>
        <w:t xml:space="preserve"> </w:t>
      </w:r>
      <w:r>
        <w:t xml:space="preserve">buckets traded volume by</w:t>
      </w:r>
      <w:r>
        <w:t xml:space="preserve"> </w:t>
      </w:r>
      <w:r>
        <w:rPr>
          <w:b/>
          <w:bCs/>
        </w:rPr>
        <w:t xml:space="preserve">price</w:t>
      </w:r>
      <w:r>
        <w:t xml:space="preserve"> </w:t>
      </w:r>
      <w:r>
        <w:t xml:space="preserve">rather than time,</w:t>
      </w:r>
      <w:r>
        <w:t xml:space="preserve"> </w:t>
      </w:r>
      <w:r>
        <w:t xml:space="preserve">distributing each bar’s volume across the price buckets its high-low range spans</w:t>
      </w:r>
      <w:r>
        <w:t xml:space="preserve"> </w:t>
      </w:r>
      <w:r>
        <w:t xml:space="preserve">weighted by overlap. It returns the</w:t>
      </w:r>
      <w:r>
        <w:t xml:space="preserve"> </w:t>
      </w:r>
      <w:r>
        <w:rPr>
          <w:b/>
          <w:bCs/>
        </w:rPr>
        <w:t xml:space="preserve">point of control</w:t>
      </w:r>
      <w:r>
        <w:t xml:space="preserve"> </w:t>
      </w:r>
      <w:r>
        <w:t xml:space="preserve">(the busiest price), and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value area</w:t>
      </w:r>
      <w:r>
        <w:t xml:space="preserve"> </w:t>
      </w:r>
      <w:r>
        <w:t xml:space="preserve">computed by expanding outward from the POC — at each step taking</w:t>
      </w:r>
      <w:r>
        <w:t xml:space="preserve"> </w:t>
      </w:r>
      <w:r>
        <w:t xml:space="preserve">whichever adjacent bucket holds more volume — until 70% of total volume is</w:t>
      </w:r>
      <w:r>
        <w:t xml:space="preserve"> </w:t>
      </w:r>
      <w:r>
        <w:t xml:space="preserve">enclosed. A companion</w:t>
      </w:r>
      <w:r>
        <w:t xml:space="preserve"> </w:t>
      </w:r>
      <w:r>
        <w:rPr>
          <w:rStyle w:val="VerbatimChar"/>
        </w:rPr>
        <w:t xml:space="preserve">supportResistance</w:t>
      </w:r>
      <w:r>
        <w:t xml:space="preserve"> </w:t>
      </w:r>
      <w:r>
        <w:t xml:space="preserve">clusters swing pivots (bars that are the</w:t>
      </w:r>
      <w:r>
        <w:t xml:space="preserve"> </w:t>
      </w:r>
      <w:r>
        <w:t xml:space="preserve">strict extreme within a</w:t>
      </w:r>
      <w:r>
        <w:t xml:space="preserve"> </w:t>
      </w:r>
      <m:oMath>
        <m:r>
          <m:rPr>
            <m:sty m:val="p"/>
          </m:rPr>
          <m:t>±</m:t>
        </m:r>
        <m:r>
          <m:t>k</m:t>
        </m:r>
      </m:oMath>
      <w:r>
        <w:t xml:space="preserve"> </w:t>
      </w:r>
      <w:r>
        <w:t xml:space="preserve">window) into strength-ranked levels. The overlay</w:t>
      </w:r>
      <w:r>
        <w:t xml:space="preserve"> </w:t>
      </w:r>
      <w:r>
        <w:t xml:space="preserve">renders as a right-edge histogram with the POC and value area highlighted, plus</w:t>
      </w:r>
      <w:r>
        <w:t xml:space="preserve"> </w:t>
      </w:r>
      <w:r>
        <w:t xml:space="preserve">dashed support/resistance lines.</w:t>
      </w:r>
    </w:p>
    <w:bookmarkEnd w:id="21"/>
    <w:bookmarkStart w:id="25" w:name="drawing-tools-replay-and-multi-chart"/>
    <w:p>
      <w:pPr>
        <w:pStyle w:val="Heading3"/>
      </w:pPr>
      <w:r>
        <w:t xml:space="preserve">4.4 Drawing tools, replay, and multi-chart</w:t>
      </w:r>
    </w:p>
    <w:p>
      <w:pPr>
        <w:pStyle w:val="FirstParagraph"/>
      </w:pPr>
      <w:r>
        <w:t xml:space="preserve">The drawing layer stores anchors as</w:t>
      </w:r>
      <w:r>
        <w:t xml:space="preserve"> </w:t>
      </w:r>
      <w:r>
        <w:rPr>
          <w:rStyle w:val="VerbatimChar"/>
        </w:rPr>
        <w:t xml:space="preserve">{time, price}</w:t>
      </w:r>
      <w:r>
        <w:t xml:space="preserve"> </w:t>
      </w:r>
      <w:r>
        <w:t xml:space="preserve">(so they stay pinned through</w:t>
      </w:r>
      <w:r>
        <w:t xml:space="preserve"> </w:t>
      </w:r>
      <w:r>
        <w:t xml:space="preserve">pan/zoom) and offers trend lines, horizontal lines, Fibonacci retracement and</w:t>
      </w:r>
      <w:r>
        <w:t xml:space="preserve"> </w:t>
      </w:r>
      <w:r>
        <w:t xml:space="preserve">extension, channels, ellipses, arrows, 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tool (Δprice, Δ%, bars), and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long/short position</w:t>
      </w:r>
      <w:r>
        <w:t xml:space="preserve"> </w:t>
      </w:r>
      <w:r>
        <w:t xml:space="preserve">tool with a live reward-to-risk readout. The numeric</w:t>
      </w:r>
      <w:r>
        <w:t xml:space="preserve"> </w:t>
      </w:r>
      <w:r>
        <w:t xml:space="preserve">parts are factored into</w:t>
      </w:r>
      <w:r>
        <w:t xml:space="preserve"> </w:t>
      </w:r>
      <w:r>
        <w:rPr>
          <w:rStyle w:val="VerbatimChar"/>
        </w:rPr>
        <w:t xml:space="preserve">charting/drawing-math.js</w:t>
      </w:r>
      <w:r>
        <w:t xml:space="preserve"> </w:t>
      </w:r>
      <w:r>
        <w:t xml:space="preserve">and tested — e.g.,</w:t>
      </w:r>
      <w:r>
        <w:t xml:space="preserve"> </w:t>
      </w:r>
      <w:r>
        <w:rPr>
          <w:rStyle w:val="VerbatimChar"/>
        </w:rPr>
        <w:t xml:space="preserve">positionRR(100, 110, 95)</w:t>
      </w:r>
      <w:r>
        <w:t xml:space="preserve"> </w:t>
      </w:r>
      <w:r>
        <w:t xml:space="preserve">returns a long trade with R:R 2.</w:t>
      </w:r>
    </w:p>
    <w:p>
      <w:pPr>
        <w:pStyle w:val="BodyText"/>
      </w:pPr>
      <w:r>
        <w:rPr>
          <w:b/>
          <w:bCs/>
        </w:rPr>
        <w:t xml:space="preserve">Bar replay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charting/replay.js</w:t>
      </w:r>
      <w:r>
        <w:t xml:space="preserve">) reveals history one bar at a time from a</w:t>
      </w:r>
      <w:r>
        <w:t xml:space="preserve"> </w:t>
      </w:r>
      <w:r>
        <w:t xml:space="preserve">cursor so a setup can be reviewed exactly as it looked then; every layer — base</w:t>
      </w:r>
      <w:r>
        <w:t xml:space="preserve"> </w:t>
      </w:r>
      <w:r>
        <w:t xml:space="preserve">series, indicators, drawings, volume profile — slices to the same cursor, so</w:t>
      </w:r>
      <w:r>
        <w:t xml:space="preserve"> </w:t>
      </w:r>
      <w:r>
        <w:t xml:space="preserve">nothing leaks the future. The key test asserts</w:t>
      </w:r>
      <w:r>
        <w:t xml:space="preserve"> </w:t>
      </w:r>
      <w:r>
        <w:rPr>
          <w:rStyle w:val="VerbatimChar"/>
        </w:rPr>
        <w:t xml:space="preserve">sliceUpTo</w:t>
      </w:r>
      <w:r>
        <w:t xml:space="preserve"> </w:t>
      </w:r>
      <w:r>
        <w:t xml:space="preserve">never returns a bar</w:t>
      </w:r>
      <w:r>
        <w:t xml:space="preserve"> </w:t>
      </w:r>
      <w:r>
        <w:t xml:space="preserve">whose time exceeds the cursor.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multi-chart</w:t>
      </w:r>
      <w:r>
        <w:t xml:space="preserve"> </w:t>
      </w:r>
      <w:r>
        <w:t xml:space="preserve">panel renders a 2- or 4-pane grid of fully independent charts,</w:t>
      </w:r>
      <w:r>
        <w:t xml:space="preserve"> </w:t>
      </w:r>
      <w:r>
        <w:t xml:space="preserve">each with its own symbol, timeframe, and data feed.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ndependent multi-chart grid, each pane with its own symbol and timeframe." title="" id="23" name="Picture"/>
            <a:graphic>
              <a:graphicData uri="http://schemas.openxmlformats.org/drawingml/2006/picture">
                <pic:pic>
                  <pic:nvPicPr>
                    <pic:cNvPr descr="img/multi-char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Independent multi-chart grid, each pane with its own symbol and</w:t>
      </w:r>
      <w:r>
        <w:t xml:space="preserve"> </w:t>
      </w:r>
      <w:r>
        <w:t xml:space="preserve">timeframe.</w:t>
      </w:r>
    </w:p>
    <w:p>
      <w:pPr>
        <w:pStyle w:val="BodyText"/>
      </w:pPr>
      <w:r>
        <w:rPr>
          <w:i/>
          <w:iCs/>
        </w:rPr>
        <w:t xml:space="preserve">Figure 2. The multi-chart grid — four independent, live charts.</w:t>
      </w:r>
    </w:p>
    <w:bookmarkEnd w:id="25"/>
    <w:bookmarkStart w:id="29" w:name="a-neutral-custom-indicator-language"/>
    <w:p>
      <w:pPr>
        <w:pStyle w:val="Heading3"/>
      </w:pPr>
      <w:r>
        <w:t xml:space="preserve">4.5 A neutral custom-indicator language</w:t>
      </w:r>
    </w:p>
    <w:p>
      <w:pPr>
        <w:pStyle w:val="FirstParagraph"/>
      </w:pPr>
      <w:r>
        <w:rPr>
          <w:rStyle w:val="VerbatimChar"/>
        </w:rPr>
        <w:t xml:space="preserve">charting/formula.js</w:t>
      </w:r>
      <w:r>
        <w:t xml:space="preserve"> </w:t>
      </w:r>
      <w:r>
        <w:t xml:space="preserve">is a small, sandboxed expression interpreter — a</w:t>
      </w:r>
      <w:r>
        <w:t xml:space="preserve"> </w:t>
      </w:r>
      <w:r>
        <w:t xml:space="preserve">tokeniser, a recursive-descent parser, and an AST evaluator over a fixed</w:t>
      </w:r>
      <w:r>
        <w:t xml:space="preserve"> </w:t>
      </w:r>
      <w:r>
        <w:t xml:space="preserve">whitelist of series (</w:t>
      </w:r>
      <w:r>
        <w:rPr>
          <w:rStyle w:val="VerbatimChar"/>
        </w:rPr>
        <w:t xml:space="preserve">open, high, low, close, volume, hl2, hlc3, ohlc4</w:t>
      </w:r>
      <w:r>
        <w:t xml:space="preserve">),</w:t>
      </w:r>
      <w:r>
        <w:t xml:space="preserve"> </w:t>
      </w:r>
      <w:r>
        <w:t xml:space="preserve">functions (</w:t>
      </w:r>
      <w:r>
        <w:rPr>
          <w:rStyle w:val="VerbatimChar"/>
        </w:rPr>
        <w:t xml:space="preserve">sma, ema, stdev, rsi, abs, max, min</w:t>
      </w:r>
      <w:r>
        <w:t xml:space="preserve">), and operators.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eval</w:t>
      </w:r>
      <w:r>
        <w:t xml:space="preserve">: there is no grammar rule that can produce a JavaScript global,</w:t>
      </w:r>
      <w:r>
        <w:t xml:space="preserve"> </w:t>
      </w:r>
      <w:r>
        <w:t xml:space="preserve">prototype, or arbitrary call, so a user formula cannot reach outside itself. The</w:t>
      </w:r>
      <w:r>
        <w:t xml:space="preserve"> </w:t>
      </w:r>
      <w:r>
        <w:t xml:space="preserve">test suite includes an explicit sandbox battery —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 </w:t>
      </w:r>
      <w:r>
        <w:t xml:space="preserve">and member access are all rejected — alongside correctness</w:t>
      </w:r>
      <w:r>
        <w:t xml:space="preserve"> </w:t>
      </w:r>
      <w:r>
        <w:t xml:space="preserve">tests (SMA equals the hand-average,</w:t>
      </w:r>
      <w:r>
        <w:t xml:space="preserve"> </w:t>
      </w:r>
      <w:r>
        <w:rPr>
          <w:rStyle w:val="VerbatimChar"/>
        </w:rPr>
        <w:t xml:space="preserve">close - sma(close,20)</w:t>
      </w:r>
      <w:r>
        <w:t xml:space="preserve"> </w:t>
      </w:r>
      <w:r>
        <w:t xml:space="preserve">is an oscillator).</w:t>
      </w:r>
    </w:p>
    <w:p>
      <w:pPr>
        <w:pStyle w:val="CaptionedFigure"/>
      </w:pPr>
      <w:r>
        <w:drawing>
          <wp:inline>
            <wp:extent cx="5334000" cy="4606636"/>
            <wp:effectExtent b="0" l="0" r="0" t="0"/>
            <wp:docPr descr="The custom-indicator editor with live validation and a preview chart." title="" id="27" name="Picture"/>
            <a:graphic>
              <a:graphicData uri="http://schemas.openxmlformats.org/drawingml/2006/picture">
                <pic:pic>
                  <pic:nvPicPr>
                    <pic:cNvPr descr="img/custom-indicato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custom-indicator editor with live validation and a preview</w:t>
      </w:r>
      <w:r>
        <w:t xml:space="preserve"> </w:t>
      </w:r>
      <w:r>
        <w:t xml:space="preserve">chart.</w:t>
      </w:r>
    </w:p>
    <w:p>
      <w:pPr>
        <w:pStyle w:val="BodyText"/>
      </w:pPr>
      <w:r>
        <w:rPr>
          <w:i/>
          <w:iCs/>
        </w:rPr>
        <w:t xml:space="preserve">Figure 3. The sandboxed custom-indicator editor: a formula, live validation,</w:t>
      </w:r>
      <w:r>
        <w:rPr>
          <w:i/>
          <w:iCs/>
        </w:rPr>
        <w:t xml:space="preserve"> </w:t>
      </w:r>
      <w:r>
        <w:rPr>
          <w:i/>
          <w:iCs/>
        </w:rPr>
        <w:t xml:space="preserve">and a preview of the resulting series.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eature-engineering-and-labelling"/>
    <w:p>
      <w:pPr>
        <w:pStyle w:val="Heading2"/>
      </w:pPr>
      <w:r>
        <w:t xml:space="preserve">5. Feature Engineering and Labelling</w:t>
      </w:r>
    </w:p>
    <w:p>
      <w:pPr>
        <w:pStyle w:val="FirstParagraph"/>
      </w:pPr>
      <w:r>
        <w:t xml:space="preserve">The ML pipeline begins by turning a candle series into a supervised dataset. This</w:t>
      </w:r>
      <w:r>
        <w:t xml:space="preserve"> </w:t>
      </w:r>
      <w:r>
        <w:t xml:space="preserve">is the most consequential and error-prone part of any trading-ML system, and the</w:t>
      </w:r>
      <w:r>
        <w:t xml:space="preserve"> </w:t>
      </w:r>
      <w:r>
        <w:t xml:space="preserve">one where point-in-time discipline matters most.</w:t>
      </w:r>
    </w:p>
    <w:bookmarkStart w:id="31" w:name="point-in-time-features"/>
    <w:p>
      <w:pPr>
        <w:pStyle w:val="Heading3"/>
      </w:pPr>
      <w:r>
        <w:t xml:space="preserve">5.1 Point-in-time features</w:t>
      </w:r>
    </w:p>
    <w:p>
      <w:pPr>
        <w:pStyle w:val="FirstParagraph"/>
      </w:pPr>
      <w:r>
        <w:rPr>
          <w:rStyle w:val="VerbatimChar"/>
        </w:rPr>
        <w:t xml:space="preserve">bot/features.js</w:t>
      </w:r>
      <w:r>
        <w:t xml:space="preserve"> </w:t>
      </w:r>
      <w:r>
        <w:t xml:space="preserve">computes, at each bar</w:t>
      </w:r>
      <w:r>
        <w:t xml:space="preserve"> </w:t>
      </w:r>
      <m:oMath>
        <m:r>
          <m:t>t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19-dimensional</w:t>
      </w:r>
      <w:r>
        <w:t xml:space="preserve"> </w:t>
      </w:r>
      <w:r>
        <w:t xml:space="preserve">feature vector</w:t>
      </w:r>
      <w:r>
        <w:t xml:space="preserve"> </w:t>
      </w:r>
      <w:r>
        <w:t xml:space="preserve">from bars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only. The features are chosen to be scale-free and to span</w:t>
      </w:r>
      <w:r>
        <w:t xml:space="preserve"> </w:t>
      </w:r>
      <w:r>
        <w:t xml:space="preserve">several economic ideas — momentum, mean-reversion, trend regime, range position,</w:t>
      </w:r>
      <w:r>
        <w:t xml:space="preserve"> </w:t>
      </w:r>
      <w:r>
        <w:t xml:space="preserve">and volatility regime:</w:t>
      </w:r>
    </w:p>
    <w:p>
      <w:pPr>
        <w:pStyle w:val="Compact"/>
        <w:numPr>
          <w:ilvl w:val="0"/>
          <w:numId w:val="1004"/>
        </w:numPr>
      </w:pPr>
      <w:r>
        <w:t xml:space="preserve">Returns:</w:t>
      </w:r>
      <w:r>
        <w:t xml:space="preserve"> </w:t>
      </w:r>
      <w:r>
        <w:rPr>
          <w:rStyle w:val="VerbatimChar"/>
        </w:rPr>
        <w:t xml:space="preserve">ret1</w:t>
      </w:r>
      <w:r>
        <w:t xml:space="preserve">,</w:t>
      </w:r>
      <w:r>
        <w:t xml:space="preserve"> </w:t>
      </w:r>
      <w:r>
        <w:rPr>
          <w:rStyle w:val="VerbatimChar"/>
        </w:rPr>
        <w:t xml:space="preserve">ret5</w:t>
      </w:r>
      <w:r>
        <w:t xml:space="preserve">,</w:t>
      </w:r>
      <w:r>
        <w:t xml:space="preserve"> </w:t>
      </w:r>
      <w:r>
        <w:rPr>
          <w:rStyle w:val="VerbatimChar"/>
        </w:rPr>
        <w:t xml:space="preserve">roc20</w:t>
      </w:r>
      <w:r>
        <w:t xml:space="preserve"> </w:t>
      </w:r>
      <w:r>
        <w:t xml:space="preserve">(rate of change).</w:t>
      </w:r>
    </w:p>
    <w:p>
      <w:pPr>
        <w:pStyle w:val="Compact"/>
        <w:numPr>
          <w:ilvl w:val="0"/>
          <w:numId w:val="1004"/>
        </w:numPr>
      </w:pPr>
      <w:r>
        <w:t xml:space="preserve">Trend/location:</w:t>
      </w:r>
      <w:r>
        <w:t xml:space="preserve"> </w:t>
      </w:r>
      <w:r>
        <w:rPr>
          <w:rStyle w:val="VerbatimChar"/>
        </w:rPr>
        <w:t xml:space="preserve">priceVsSma50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priceVsSma200</w:t>
      </w:r>
      <w:r>
        <w:t xml:space="preserve">,</w:t>
      </w:r>
      <w:r>
        <w:t xml:space="preserve"> </w:t>
      </w:r>
      <w:r>
        <w:rPr>
          <w:rStyle w:val="VerbatimChar"/>
        </w:rPr>
        <w:t xml:space="preserve">sma20Slope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Oscillators:</w:t>
      </w:r>
      <w:r>
        <w:t xml:space="preserve"> </w:t>
      </w:r>
      <w:r>
        <w:rPr>
          <w:rStyle w:val="VerbatimChar"/>
        </w:rPr>
        <w:t xml:space="preserve">rsi14</w:t>
      </w:r>
      <w:r>
        <w:t xml:space="preserve">,</w:t>
      </w:r>
      <w:r>
        <w:t xml:space="preserve"> </w:t>
      </w:r>
      <w:r>
        <w:rPr>
          <w:rStyle w:val="VerbatimChar"/>
        </w:rPr>
        <w:t xml:space="preserve">rsiSlope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macdHist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Bands/range:</w:t>
      </w:r>
      <w:r>
        <w:t xml:space="preserve"> </w:t>
      </w:r>
      <w:r>
        <w:rPr>
          <w:rStyle w:val="VerbatimChar"/>
        </w:rPr>
        <w:t xml:space="preserve">bollingerPct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distFrom120High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distFrom120Low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Volume/vol:</w:t>
      </w:r>
      <w:r>
        <w:t xml:space="preserve"> </w:t>
      </w:r>
      <w:r>
        <w:rPr>
          <w:rStyle w:val="VerbatimChar"/>
        </w:rPr>
        <w:t xml:space="preserve">volumeRatio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volatility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volRegime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atrPct</w:t>
      </w:r>
      <w:r>
        <w:t xml:space="preserve">.</w:t>
      </w:r>
    </w:p>
    <w:p>
      <w:pPr>
        <w:pStyle w:val="FirstParagraph"/>
      </w:pPr>
      <w:r>
        <w:t xml:space="preserve">Every value passes through a finite-guard so no</w:t>
      </w:r>
      <w:r>
        <w:t xml:space="preserve"> </w:t>
      </w:r>
      <w:r>
        <w:rPr>
          <w:rStyle w:val="VerbatimChar"/>
        </w:rPr>
        <w:t xml:space="preserve">NaN</w:t>
      </w:r>
      <w:r>
        <w:t xml:space="preserve">/</w:t>
      </w:r>
      <w:r>
        <w:rPr>
          <w:rStyle w:val="VerbatimChar"/>
        </w:rPr>
        <w:t xml:space="preserve">Infinity</w:t>
      </w:r>
      <w:r>
        <w:t xml:space="preserve"> </w:t>
      </w:r>
      <w:r>
        <w:t xml:space="preserve">can reach a</w:t>
      </w:r>
      <w:r>
        <w:t xml:space="preserve"> </w:t>
      </w:r>
      <w:r>
        <w:t xml:space="preserve">model. The dataset builder uses a</w:t>
      </w:r>
      <w:r>
        <w:t xml:space="preserve"> </w:t>
      </w:r>
      <w:r>
        <w:rPr>
          <w:b/>
          <w:bCs/>
        </w:rPr>
        <w:t xml:space="preserve">200-bar warm-up</w:t>
      </w:r>
      <w:r>
        <w:t xml:space="preserve"> </w:t>
      </w:r>
      <w:r>
        <w:t xml:space="preserve">so that long-lookback</w:t>
      </w:r>
      <w:r>
        <w:t xml:space="preserve"> </w:t>
      </w:r>
      <w:r>
        <w:t xml:space="preserve">features (SMA-200) are fully formed from the first training row.</w:t>
      </w:r>
    </w:p>
    <w:bookmarkEnd w:id="31"/>
    <w:bookmarkStart w:id="32" w:name="cross-asset-market-relative-features"/>
    <w:p>
      <w:pPr>
        <w:pStyle w:val="Heading3"/>
      </w:pPr>
      <w:r>
        <w:t xml:space="preserve">5.2 Cross-asset (market-relative) features</w:t>
      </w:r>
    </w:p>
    <w:p>
      <w:pPr>
        <w:pStyle w:val="FirstParagraph"/>
      </w:pPr>
      <w:r>
        <w:t xml:space="preserve">Optionally, five</w:t>
      </w:r>
      <w:r>
        <w:t xml:space="preserve"> </w:t>
      </w:r>
      <w:r>
        <w:rPr>
          <w:b/>
          <w:bCs/>
        </w:rPr>
        <w:t xml:space="preserve">market-relative</w:t>
      </w:r>
      <w:r>
        <w:t xml:space="preserve"> </w:t>
      </w:r>
      <w:r>
        <w:t xml:space="preserve">features are appended, computed against a</w:t>
      </w:r>
      <w:r>
        <w:t xml:space="preserve"> </w:t>
      </w:r>
      <w:r>
        <w:t xml:space="preserve">benchmark (SPY) whose closes are aligned to the stock’s bar times with</w:t>
      </w:r>
      <w:r>
        <w:t xml:space="preserve"> </w:t>
      </w:r>
      <w:r>
        <w:t xml:space="preserve">carry-forward across gaps: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excessRet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plus a 20-bar relative-strength term and the 60-bar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 correlation to the</w:t>
      </w:r>
      <w:r>
        <w:t xml:space="preserve"> </w:t>
      </w:r>
      <w:r>
        <w:t xml:space="preserve">benchmark: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60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nor/>
                      <m:sty m:val="p"/>
                    </m:rPr>
                    <m:t>stock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r</m:t>
                  </m:r>
                </m:e>
                <m:sup>
                  <m:r>
                    <m:rPr>
                      <m:nor/>
                      <m:sty m:val="p"/>
                    </m:rPr>
                    <m:t>bench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nor/>
                      <m:sty m:val="p"/>
                    </m:rPr>
                    <m:t>bench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60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nor/>
                      <m:sty m:val="p"/>
                    </m:rPr>
                    <m:t>stock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r</m:t>
                  </m:r>
                </m:e>
                <m:sup>
                  <m:r>
                    <m:rPr>
                      <m:nor/>
                      <m:sty m:val="p"/>
                    </m:rPr>
                    <m:t>bench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rPr>
                      <m:nor/>
                      <m:sty m:val="p"/>
                    </m:rPr>
                    <m:t>stock</m:t>
                  </m:r>
                </m:sup>
              </m:sSup>
              <m:r>
                <m:t> 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nor/>
                      <m:sty m:val="p"/>
                    </m:rPr>
                    <m:t>bench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Train/live parity is enforced by construction:</w:t>
      </w:r>
      <w:r>
        <w:t xml:space="preserve"> </w:t>
      </w:r>
      <w:r>
        <w:t xml:space="preserve">the model artifact records its</w:t>
      </w:r>
      <w:r>
        <w:t xml:space="preserve"> </w:t>
      </w:r>
      <w:r>
        <w:t xml:space="preserve">feature-name list; the live signal path detects a market-trained model by that</w:t>
      </w:r>
      <w:r>
        <w:t xml:space="preserve"> </w:t>
      </w:r>
      <w:r>
        <w:t xml:space="preserve">list’s length and refuses to run without the benchmark rather than feed a</w:t>
      </w:r>
      <w:r>
        <w:t xml:space="preserve"> </w:t>
      </w:r>
      <w:r>
        <w:t xml:space="preserve">mis-shaped vector.</w:t>
      </w:r>
    </w:p>
    <w:bookmarkEnd w:id="32"/>
    <w:bookmarkStart w:id="33" w:name="the-triple-barrier-label"/>
    <w:p>
      <w:pPr>
        <w:pStyle w:val="Heading3"/>
      </w:pPr>
      <w:r>
        <w:t xml:space="preserve">5.3 The triple-barrier label</w:t>
      </w:r>
    </w:p>
    <w:p>
      <w:pPr>
        <w:pStyle w:val="FirstParagraph"/>
      </w:pPr>
      <w:r>
        <w:t xml:space="preserve">Labels follow the triple-barrier method (López de Prado). For a long entered at</w:t>
      </w:r>
      <w:r>
        <w:t xml:space="preserve"> </w:t>
      </w:r>
      <w:r>
        <w:t xml:space="preserve">the close of bar</w:t>
      </w:r>
      <w:r>
        <w:t xml:space="preserve"> </w:t>
      </w:r>
      <m:oMath>
        <m:r>
          <m:t>t</m:t>
        </m:r>
      </m:oMath>
      <w:r>
        <w:t xml:space="preserve">, three barriers are placed: an upper profit barrier at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, a lower stop barrier at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, and a vertical time barrier at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h</m:t>
        </m:r>
      </m:oMath>
      <w:r>
        <w:t xml:space="preserve">. Scanning forward,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upper barrier is touched before the lower within </m:t>
                    </m:r>
                    <m:r>
                      <m:t>h</m:t>
                    </m:r>
                    <m:r>
                      <m:rPr>
                        <m:nor/>
                        <m:sty m:val="p"/>
                      </m:rPr>
                      <m:t> bars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lower barrier is touched first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time barrier is hit first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with defaults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bars. A conservative tie-break treats a bar</w:t>
      </w:r>
      <w:r>
        <w:t xml:space="preserve"> </w:t>
      </w:r>
      <w:r>
        <w:t xml:space="preserve">whose range straddles both barriers as a stop (the pessimistic assumption for a</w:t>
      </w:r>
      <w:r>
        <w:t xml:space="preserve"> </w:t>
      </w:r>
      <w:r>
        <w:t xml:space="preserve">long). Rows without enough future to determine the label are excluded — they</w:t>
      </w:r>
      <w:r>
        <w:t xml:space="preserve"> </w:t>
      </w:r>
      <w:r>
        <w:t xml:space="preserve">cannot be labelled and must not be invented.</w:t>
      </w:r>
    </w:p>
    <w:bookmarkEnd w:id="33"/>
    <w:bookmarkStart w:id="34" w:name="temporal-splitting"/>
    <w:p>
      <w:pPr>
        <w:pStyle w:val="Heading3"/>
      </w:pPr>
      <w:r>
        <w:t xml:space="preserve">5.4 Temporal splitting</w:t>
      </w:r>
    </w:p>
    <w:p>
      <w:pPr>
        <w:pStyle w:val="FirstParagraph"/>
      </w:pPr>
      <w:r>
        <w:t xml:space="preserve">Time series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shuffled before splitting; the test set is always the</w:t>
      </w:r>
      <w:r>
        <w:t xml:space="preserve"> </w:t>
      </w:r>
      <w:r>
        <w:t xml:space="preserve">most recent contiguous slice (default 30%). Random</w:t>
      </w:r>
      <w:r>
        <w:t xml:space="preserve"> </w:t>
      </w:r>
      <m:oMath>
        <m:r>
          <m:t>k</m:t>
        </m:r>
      </m:oMath>
      <w:r>
        <w:t xml:space="preserve">-fold splitting would leak</w:t>
      </w:r>
      <w:r>
        <w:t xml:space="preserve"> </w:t>
      </w:r>
      <w:r>
        <w:t xml:space="preserve">future information through serially-correlated adjacent rows, inflating every</w:t>
      </w:r>
      <w:r>
        <w:t xml:space="preserve"> </w:t>
      </w:r>
      <w:r>
        <w:t xml:space="preserve">metric.</w:t>
      </w:r>
      <w:r>
        <w:t xml:space="preserve"> </w:t>
      </w:r>
      <w:r>
        <w:rPr>
          <w:rStyle w:val="VerbatimChar"/>
        </w:rPr>
        <w:t xml:space="preserve">temporalSplit</w:t>
      </w:r>
      <w:r>
        <w:t xml:space="preserve"> </w:t>
      </w:r>
      <w:r>
        <w:t xml:space="preserve">enforces this and is used everywhere a train/test split is</w:t>
      </w:r>
      <w:r>
        <w:t xml:space="preserve"> </w:t>
      </w:r>
      <w:r>
        <w:t xml:space="preserve">needed.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machine-learning-models"/>
    <w:p>
      <w:pPr>
        <w:pStyle w:val="Heading2"/>
      </w:pPr>
      <w:r>
        <w:t xml:space="preserve">6. Machine-Learning Models</w:t>
      </w:r>
    </w:p>
    <w:p>
      <w:pPr>
        <w:pStyle w:val="FirstParagraph"/>
      </w:pPr>
      <w:r>
        <w:t xml:space="preserve">QuantBloom trains models entirely in-app (JavaScript), so research is</w:t>
      </w:r>
      <w:r>
        <w:t xml:space="preserve"> </w:t>
      </w:r>
      <w:r>
        <w:t xml:space="preserve">reproducible and requires no Python runtime. Four model</w:t>
      </w:r>
      <w:r>
        <w:t xml:space="preserve"> </w:t>
      </w:r>
      <w:r>
        <w:rPr>
          <w:i/>
          <w:iCs/>
        </w:rPr>
        <w:t xml:space="preserve">families</w:t>
      </w:r>
      <w:r>
        <w:t xml:space="preserve"> </w:t>
      </w:r>
      <w:r>
        <w:t xml:space="preserve">are available;</w:t>
      </w:r>
      <w:r>
        <w:t xml:space="preserve"> </w:t>
      </w:r>
      <w:r>
        <w:t xml:space="preserve">all share one prediction interface,</w:t>
      </w:r>
      <w:r>
        <w:t xml:space="preserve"> </w:t>
      </w:r>
      <w:r>
        <w:rPr>
          <w:rStyle w:val="VerbatimChar"/>
        </w:rPr>
        <w:t xml:space="preserve">predictProba(model, featureRow) → [0,1]</w:t>
      </w:r>
      <w:r>
        <w:t xml:space="preserve">,</w:t>
      </w:r>
      <w:r>
        <w:t xml:space="preserve"> </w:t>
      </w:r>
      <w:r>
        <w:t xml:space="preserve">which dispatches on</w:t>
      </w:r>
      <w:r>
        <w:t xml:space="preserve"> </w:t>
      </w:r>
      <w:r>
        <w:rPr>
          <w:rStyle w:val="VerbatimChar"/>
        </w:rPr>
        <w:t xml:space="preserve">model.type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modelStrategy()</w:t>
      </w:r>
      <w:r>
        <w:t xml:space="preserve">, the</w:t>
      </w:r>
      <w:r>
        <w:t xml:space="preserve"> </w:t>
      </w:r>
      <w:r>
        <w:t xml:space="preserve">backtester, and the publish gate work with any family unchanged.</w:t>
      </w:r>
    </w:p>
    <w:p>
      <w:pPr>
        <w:pStyle w:val="CaptionedFigure"/>
      </w:pPr>
      <w:r>
        <w:drawing>
          <wp:inline>
            <wp:extent cx="5334000" cy="4889500"/>
            <wp:effectExtent b="0" l="0" r="0" t="0"/>
            <wp:docPr descr="The Model Lab: model-type selector, training controls, out-of-sample metrics, and the publish gate’s verdict." title="" id="37" name="Picture"/>
            <a:graphic>
              <a:graphicData uri="http://schemas.openxmlformats.org/drawingml/2006/picture">
                <pic:pic>
                  <pic:nvPicPr>
                    <pic:cNvPr descr="img/model-lab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Model Lab: model-type selector, training controls, out-of-sample metrics,</w:t>
      </w:r>
      <w:r>
        <w:t xml:space="preserve"> </w:t>
      </w:r>
      <w:r>
        <w:t xml:space="preserve">and the publish gate’s verdict.</w:t>
      </w:r>
    </w:p>
    <w:p>
      <w:pPr>
        <w:pStyle w:val="BodyText"/>
      </w:pPr>
      <w:r>
        <w:rPr>
          <w:i/>
          <w:iCs/>
        </w:rPr>
        <w:t xml:space="preserve">Figure 4. The Model Lab — train a model, read its out-of-sample metrics, and see</w:t>
      </w:r>
      <w:r>
        <w:rPr>
          <w:i/>
          <w:iCs/>
        </w:rPr>
        <w:t xml:space="preserve"> </w:t>
      </w:r>
      <w:r>
        <w:rPr>
          <w:i/>
          <w:iCs/>
        </w:rPr>
        <w:t xml:space="preserve">the publish gate’s decision.</w:t>
      </w:r>
    </w:p>
    <w:bookmarkStart w:id="39" w:name="regularised-logistic-regression"/>
    <w:p>
      <w:pPr>
        <w:pStyle w:val="Heading3"/>
      </w:pPr>
      <w:r>
        <w:t xml:space="preserve">6.1 Regularised logistic regression</w:t>
      </w:r>
    </w:p>
    <w:p>
      <w:pPr>
        <w:pStyle w:val="FirstParagraph"/>
      </w:pPr>
      <w:r>
        <w:t xml:space="preserve">The baseline model predicts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t>z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the standardised feature vector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(the scaler is stored with the model). Training</w:t>
      </w:r>
      <w:r>
        <w:t xml:space="preserve"> </w:t>
      </w:r>
      <w:r>
        <w:t xml:space="preserve">minimises the L2-regularised cross-entropy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w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by batch gradient descent, using the standard logistic gradient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r>
          <m:t>w</m:t>
        </m:r>
      </m:oMath>
      <w:r>
        <w:t xml:space="preserve">. It is a</w:t>
      </w:r>
      <w:r>
        <w:t xml:space="preserve"> </w:t>
      </w:r>
      <w:r>
        <w:t xml:space="preserve">transparent, low-variance baseline; any more complex model has to beat it.</w:t>
      </w:r>
    </w:p>
    <w:bookmarkEnd w:id="39"/>
    <w:bookmarkStart w:id="40" w:name="gradient-boosted-decision-trees"/>
    <w:p>
      <w:pPr>
        <w:pStyle w:val="Heading3"/>
      </w:pPr>
      <w:r>
        <w:t xml:space="preserve">6.2 Gradient-boosted decision trees</w:t>
      </w:r>
    </w:p>
    <w:p>
      <w:pPr>
        <w:pStyle w:val="FirstParagraph"/>
      </w:pPr>
      <w:r>
        <w:rPr>
          <w:rStyle w:val="VerbatimChar"/>
        </w:rPr>
        <w:t xml:space="preserve">bot/gbm.js</w:t>
      </w:r>
      <w:r>
        <w:t xml:space="preserve"> </w:t>
      </w:r>
      <w:r>
        <w:t xml:space="preserve">implements Friedman’s gradient boosting as the in-app stand-in for</w:t>
      </w:r>
      <w:r>
        <w:t xml:space="preserve"> </w:t>
      </w:r>
      <w:r>
        <w:t xml:space="preserve">LightGBM/CatBoost. It fits an additive model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t>ν</m:t>
            </m:r>
          </m:e>
        </m:nary>
        <m:r>
          <m:t> 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shallow regression trees to the</w:t>
      </w:r>
      <w:r>
        <w:t xml:space="preserve"> </w:t>
      </w:r>
      <w:r>
        <w:rPr>
          <w:b/>
          <w:bCs/>
        </w:rPr>
        <w:t xml:space="preserve">pseudo-residuals of the log-loss</w:t>
      </w:r>
      <w:r>
        <w:t xml:space="preserve">. Working</w:t>
      </w:r>
      <w:r>
        <w:t xml:space="preserve"> </w:t>
      </w:r>
      <w:r>
        <w:t xml:space="preserve">in logit space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, the negative gradient of the log-loss at</w:t>
      </w:r>
      <w:r>
        <w:t xml:space="preserve"> </w:t>
      </w:r>
      <w:r>
        <w:t xml:space="preserve">stage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simply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the current probability error. Each stage fits a shallow CART regression tree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by exhaustive split search minimising squared</w:t>
      </w:r>
      <w:r>
        <w:t xml:space="preserve"> </w:t>
      </w:r>
      <w:r>
        <w:t xml:space="preserve">error, with a minimum-leaf-size constraint, and the ensemble is updated with a</w:t>
      </w:r>
      <w:r>
        <w:t xml:space="preserve"> </w:t>
      </w:r>
      <w:r>
        <w:t xml:space="preserve">learning rate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(shrinkage). The final prediction 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Split-count</w:t>
      </w:r>
      <w:r>
        <w:t xml:space="preserve"> </w:t>
      </w:r>
      <w:r>
        <w:rPr>
          <w:b/>
          <w:bCs/>
        </w:rPr>
        <w:t xml:space="preserve">feature importance</w:t>
      </w:r>
      <w:r>
        <w:t xml:space="preserve"> </w:t>
      </w:r>
      <w:r>
        <w:t xml:space="preserve">is reported, normalised to</w:t>
      </w:r>
      <w:r>
        <w:t xml:space="preserve"> </w:t>
      </w:r>
      <w:r>
        <w:t xml:space="preserve">sum to one.</w:t>
      </w:r>
    </w:p>
    <w:p>
      <w:pPr>
        <w:pStyle w:val="BodyText"/>
      </w:pPr>
      <w:r>
        <w:t xml:space="preserve">The decisive test is that the GBM</w:t>
      </w:r>
      <w:r>
        <w:t xml:space="preserve"> </w:t>
      </w:r>
      <w:r>
        <w:rPr>
          <w:b/>
          <w:bCs/>
        </w:rPr>
        <w:t xml:space="preserve">learns XOR</w:t>
      </w:r>
      <w:r>
        <w:t xml:space="preserve"> </w:t>
      </w:r>
      <w:r>
        <w:t xml:space="preserve">— a function no linear model can</w:t>
      </w:r>
      <w:r>
        <w:t xml:space="preserve"> </w:t>
      </w:r>
      <w:r>
        <w:t xml:space="preserve">represent — achieving accuracy</w:t>
      </w:r>
      <w:r>
        <w:t xml:space="preserve"> </w:t>
      </w:r>
      <m:oMath>
        <m:r>
          <m:rPr>
            <m:sty m:val="p"/>
          </m:rPr>
          <m:t>&gt;</m:t>
        </m:r>
        <m:r>
          <m:t>0.85</m:t>
        </m:r>
      </m:oMath>
      <w:r>
        <w:t xml:space="preserve"> </w:t>
      </w:r>
      <w:r>
        <w:t xml:space="preserve">where logistic regression sits near</w:t>
      </w:r>
      <w:r>
        <w:t xml:space="preserve"> </w:t>
      </w:r>
      <m:oMath>
        <m:r>
          <m:t>0.5</m:t>
        </m:r>
      </m:oMath>
      <w:r>
        <w:t xml:space="preserve">. Building this model also surfaced a real methodological bug: a naive</w:t>
      </w:r>
      <w:r>
        <w:t xml:space="preserve"> </w:t>
      </w:r>
      <w:r>
        <w:t xml:space="preserve">linear-congruential PRNG produces serially-correlated</w:t>
      </w:r>
      <w:r>
        <w:t xml:space="preserve"> </w:t>
      </w:r>
      <w:r>
        <w:t xml:space="preserve">“noise”</w:t>
      </w:r>
      <w:r>
        <w:t xml:space="preserve"> </w:t>
      </w:r>
      <w:r>
        <w:t xml:space="preserve">that the GBM was</w:t>
      </w:r>
      <w:r>
        <w:t xml:space="preserve"> </w:t>
      </w:r>
      <w:r>
        <w:t xml:space="preserve">powerful enough to learn, giving fabricated out-of-sample AUC of 0.96; switching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mulberry32</w:t>
      </w:r>
      <w:r>
        <w:t xml:space="preserve"> </w:t>
      </w:r>
      <w:r>
        <w:t xml:space="preserve">PRNG with independent feature/label streams restored the</w:t>
      </w:r>
      <w:r>
        <w:t xml:space="preserve"> </w:t>
      </w:r>
      <w:r>
        <w:t xml:space="preserve">expected</w:t>
      </w:r>
      <w:r>
        <w:t xml:space="preserve"> </w:t>
      </w:r>
      <m:oMath>
        <m:r>
          <m:rPr>
            <m:sty m:val="p"/>
          </m:rPr>
          <m:t>≈</m:t>
        </m:r>
        <m:r>
          <m:t>0.5</m:t>
        </m:r>
      </m:oMath>
      <w:r>
        <w:t xml:space="preserve">. This is itself a small demonstration of why the</w:t>
      </w:r>
      <w:r>
        <w:t xml:space="preserve"> </w:t>
      </w:r>
      <w:r>
        <w:t xml:space="preserve">overfitting guards in Section 7 exist.</w:t>
      </w:r>
    </w:p>
    <w:bookmarkEnd w:id="40"/>
    <w:bookmarkStart w:id="41" w:name="the-pca-latent-factor-model"/>
    <w:p>
      <w:pPr>
        <w:pStyle w:val="Heading3"/>
      </w:pPr>
      <w:r>
        <w:t xml:space="preserve">6.3 The PCA latent-factor model</w:t>
      </w:r>
    </w:p>
    <w:p>
      <w:pPr>
        <w:pStyle w:val="FirstParagraph"/>
      </w:pPr>
      <w:r>
        <w:t xml:space="preserve">The latent-factor family (the in-app, clean-room stand-in for the ml4t-models</w:t>
      </w:r>
      <w:r>
        <w:t xml:space="preserve"> </w:t>
      </w:r>
      <w:r>
        <w:t xml:space="preserve">PCA/RPPCA/IPCA family) reduces the standardised features to their top-</w:t>
      </w:r>
      <m:oMath>
        <m:r>
          <m:t>k</m:t>
        </m:r>
      </m:oMath>
      <w:r>
        <w:t xml:space="preserve"> </w:t>
      </w:r>
      <w:r>
        <w:t xml:space="preserve">principal components — the directions of greatest variance, the</w:t>
      </w:r>
      <w:r>
        <w:t xml:space="preserve"> </w:t>
      </w:r>
      <w:r>
        <w:t xml:space="preserve">“latent factors”</w:t>
      </w:r>
      <w:r>
        <w:t xml:space="preserve"> </w:t>
      </w:r>
      <w:r>
        <w:t xml:space="preserve">—</w:t>
      </w:r>
      <w:r>
        <w:t xml:space="preserve"> </w:t>
      </w:r>
      <w:r>
        <w:t xml:space="preserve">then predicts the label from those components with logistic regression.</w:t>
      </w:r>
    </w:p>
    <w:p>
      <w:pPr>
        <w:pStyle w:val="BodyText"/>
      </w:pPr>
      <w:r>
        <w:t xml:space="preserve">PCA requires the eigenvectors of the feature covariance matrix. Because a</w:t>
      </w:r>
      <w:r>
        <w:t xml:space="preserve"> </w:t>
      </w:r>
      <w:r>
        <w:t xml:space="preserve">covariance matrix is symmetric, QuantBloom uses a</w:t>
      </w:r>
      <w:r>
        <w:t xml:space="preserve"> </w:t>
      </w:r>
      <w:r>
        <w:rPr>
          <w:b/>
          <w:bCs/>
        </w:rPr>
        <w:t xml:space="preserve">from-scratch cyclic Jacobi</w:t>
      </w:r>
      <w:r>
        <w:rPr>
          <w:b/>
          <w:bCs/>
        </w:rPr>
        <w:t xml:space="preserve"> </w:t>
      </w:r>
      <w:r>
        <w:rPr>
          <w:b/>
          <w:bCs/>
        </w:rPr>
        <w:t xml:space="preserve">eigensolver</w:t>
      </w:r>
      <w:r>
        <w:t xml:space="preserve"> </w:t>
      </w:r>
      <w:r>
        <w:t xml:space="preserve">(</w:t>
      </w:r>
      <w:r>
        <w:rPr>
          <w:rStyle w:val="VerbatimChar"/>
        </w:rPr>
        <w:t xml:space="preserve">bot/eigen.js</w:t>
      </w:r>
      <w:r>
        <w:t xml:space="preserve">). Jacobi repeatedly applies a plane rotation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that annihilates the largest off-diagonal entry: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atan2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p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a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t>q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←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A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accumulating</w:t>
      </w:r>
      <w:r>
        <w:t xml:space="preserve"> </w:t>
      </w:r>
      <m:oMath>
        <m:r>
          <m:t>V</m:t>
        </m:r>
        <m:r>
          <m:rPr>
            <m:sty m:val="p"/>
          </m:rPr>
          <m:t>←</m:t>
        </m:r>
        <m:r>
          <m:t>V</m:t>
        </m:r>
        <m:r>
          <m:t>R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diagonal; the diagonal then holds the</w:t>
      </w:r>
      <w:r>
        <w:t xml:space="preserve"> </w:t>
      </w:r>
      <w:r>
        <w:t xml:space="preserve">eigenvalues and the columns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the eigenvectors. The solver is verified</w:t>
      </w:r>
      <w:r>
        <w:t xml:space="preserve"> </w:t>
      </w:r>
      <w:r>
        <w:t xml:space="preserve">against known decompositions, orthonormality,</w:t>
      </w:r>
      <w:r>
        <w:t xml:space="preserve"> </w:t>
      </w:r>
      <m:oMath>
        <m:r>
          <m:t>A</m:t>
        </m:r>
        <m:r>
          <m:t>v</m:t>
        </m:r>
        <m:r>
          <m:rPr>
            <m:sty m:val="p"/>
          </m:rPr>
          <m:t>=</m:t>
        </m:r>
        <m:r>
          <m:t>λ</m:t>
        </m:r>
        <m:r>
          <m:t>v</m:t>
        </m:r>
      </m:oMath>
      <w:r>
        <w:t xml:space="preserve"> </w:t>
      </w:r>
      <w:r>
        <w:t xml:space="preserve">for every returned</w:t>
      </w:r>
      <w:r>
        <w:t xml:space="preserve"> </w:t>
      </w:r>
      <w:r>
        <w:t xml:space="preserve">pair, and the trace/determinant identities. PCA (</w:t>
      </w:r>
      <w:r>
        <w:rPr>
          <w:rStyle w:val="VerbatimChar"/>
        </w:rPr>
        <w:t xml:space="preserve">bot/pca.js</w:t>
      </w:r>
      <w:r>
        <w:t xml:space="preserve">) standardises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forms the covariance from the columns, eigendecomposes it, and projects onto the</w:t>
      </w:r>
      <w:r>
        <w:t xml:space="preserve"> </w:t>
      </w:r>
      <w:r>
        <w:t xml:space="preserve">top-</w:t>
      </w:r>
      <m:oMath>
        <m:r>
          <m:t>k</m:t>
        </m:r>
      </m:oMath>
      <w:r>
        <w:t xml:space="preserve"> </w:t>
      </w:r>
      <w:r>
        <w:t xml:space="preserve">loadings; the fraction of variance explained per component is reported.</w:t>
      </w:r>
      <w:r>
        <w:t xml:space="preserve"> </w:t>
      </w:r>
      <w:r>
        <w:t xml:space="preserve">On real data, five factors typically capture</w:t>
      </w:r>
      <w:r>
        <w:t xml:space="preserve"> </w:t>
      </w:r>
      <m:oMath>
        <m:r>
          <m:rPr>
            <m:sty m:val="p"/>
          </m:rPr>
          <m:t>≈</m:t>
        </m:r>
        <m:r>
          <m:t>82</m:t>
        </m:r>
        <m:r>
          <m:rPr>
            <m:sty m:val="p"/>
          </m:rPr>
          <m:t>%</m:t>
        </m:r>
      </m:oMath>
      <w:r>
        <w:t xml:space="preserve"> </w:t>
      </w:r>
      <w:r>
        <w:t xml:space="preserve">of feature variance.</w:t>
      </w:r>
    </w:p>
    <w:bookmarkEnd w:id="41"/>
    <w:bookmarkStart w:id="42" w:name="the-ensemble"/>
    <w:p>
      <w:pPr>
        <w:pStyle w:val="Heading3"/>
      </w:pPr>
      <w:r>
        <w:t xml:space="preserve">6.4 The ensemble</w:t>
      </w:r>
    </w:p>
    <w:p>
      <w:pPr>
        <w:pStyle w:val="FirstParagraph"/>
      </w:pPr>
      <w:r>
        <w:t xml:space="preserve">The ensemble averages the predicted probabilities of the GBM, logistic, and PCA</w:t>
      </w:r>
      <w:r>
        <w:t xml:space="preserve"> </w:t>
      </w:r>
      <w:r>
        <w:t xml:space="preserve">members: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ens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gbm</m:t>
                </m:r>
              </m:sub>
            </m:sSub>
            <m:r>
              <m:rPr>
                <m:sty m:val="p"/>
              </m:rPr>
              <m:t>+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log</m:t>
                </m:r>
              </m:sub>
            </m:sSub>
            <m:r>
              <m:rPr>
                <m:sty m:val="p"/>
              </m:rPr>
              <m:t>+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pca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Averaging decorrelated errors trades a little of each model’s bias for lower</w:t>
      </w:r>
      <w:r>
        <w:t xml:space="preserve"> </w:t>
      </w:r>
      <w:r>
        <w:t xml:space="preserve">variance; the test suite asserts the blend is never worse than its weakest</w:t>
      </w:r>
      <w:r>
        <w:t xml:space="preserve"> </w:t>
      </w:r>
      <w:r>
        <w:t xml:space="preserve">member. As Section 16 records, on real data the ensemble improves</w:t>
      </w:r>
      <w:r>
        <w:t xml:space="preserve"> </w:t>
      </w:r>
      <w:r>
        <w:rPr>
          <w:i/>
          <w:iCs/>
        </w:rPr>
        <w:t xml:space="preserve">robustness</w:t>
      </w:r>
      <w:r>
        <w:t xml:space="preserve"> </w:t>
      </w:r>
      <w:r>
        <w:t xml:space="preserve">but does not beat the best single model, and — like every model here — does not</w:t>
      </w:r>
      <w:r>
        <w:t xml:space="preserve"> </w:t>
      </w:r>
      <w:r>
        <w:t xml:space="preserve">beat buy-and-hold.</w:t>
      </w:r>
    </w:p>
    <w:bookmarkEnd w:id="42"/>
    <w:bookmarkStart w:id="43" w:name="evaluation-metrics"/>
    <w:p>
      <w:pPr>
        <w:pStyle w:val="Heading3"/>
      </w:pPr>
      <w:r>
        <w:t xml:space="preserve">6.5 Evaluation metrics</w:t>
      </w:r>
    </w:p>
    <w:p>
      <w:pPr>
        <w:pStyle w:val="FirstParagraph"/>
      </w:pPr>
      <w:r>
        <w:rPr>
          <w:rStyle w:val="VerbatimChar"/>
        </w:rPr>
        <w:t xml:space="preserve">evaluate()</w:t>
      </w:r>
      <w:r>
        <w:t xml:space="preserve"> </w:t>
      </w:r>
      <w:r>
        <w:t xml:space="preserve">reports accuracy, precision, recall, F1, and a rank-based</w:t>
      </w:r>
      <w:r>
        <w:t xml:space="preserve"> </w:t>
      </w:r>
      <w:r>
        <w:rPr>
          <w:b/>
          <w:bCs/>
        </w:rPr>
        <w:t xml:space="preserve">AUC</w:t>
      </w:r>
      <w:r>
        <w:t xml:space="preserve"> </w:t>
      </w:r>
      <w:r>
        <w:t xml:space="preserve">computed via the Mann–Whitney statistic: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AUC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P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threshold-independent and is not fooled by class imbalance the way raw</w:t>
      </w:r>
      <w:r>
        <w:t xml:space="preserve"> </w:t>
      </w:r>
      <w:r>
        <w:t xml:space="preserve">accuracy is. AUC is the primary discrimination metric in the publish gate.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model-evaluation-and-the-publish-gate"/>
    <w:p>
      <w:pPr>
        <w:pStyle w:val="Heading2"/>
      </w:pPr>
      <w:r>
        <w:t xml:space="preserve">7. Model Evaluation and the Publish Gate</w:t>
      </w:r>
    </w:p>
    <w:p>
      <w:pPr>
        <w:pStyle w:val="FirstParagraph"/>
      </w:pPr>
      <w:r>
        <w:t xml:space="preserve">The single most important design decision in QuantBloom is that a model cannot</w:t>
      </w:r>
      <w:r>
        <w:t xml:space="preserve"> </w:t>
      </w:r>
      <w:r>
        <w:t xml:space="preserve">reach the public page — or be trusted — merely because it looked good on a</w:t>
      </w:r>
      <w:r>
        <w:t xml:space="preserve"> </w:t>
      </w:r>
      <w:r>
        <w:t xml:space="preserve">backtest. Backtests are optimised over many trials, and the best of many random</w:t>
      </w:r>
      <w:r>
        <w:t xml:space="preserve"> </w:t>
      </w:r>
      <w:r>
        <w:t xml:space="preserve">strategies will look excellent by chance. The</w:t>
      </w:r>
      <w:r>
        <w:t xml:space="preserve"> </w:t>
      </w:r>
      <w:r>
        <w:rPr>
          <w:b/>
          <w:bCs/>
        </w:rPr>
        <w:t xml:space="preserve">publish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bot/model-registry.js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evaluateGate</w:t>
      </w:r>
      <w:r>
        <w:t xml:space="preserve">) enforces a battery of out-of-sample</w:t>
      </w:r>
      <w:r>
        <w:t xml:space="preserve"> </w:t>
      </w:r>
      <w:r>
        <w:t xml:space="preserve">tests, corrected for multiple testing, before a model is eligible.</w:t>
      </w:r>
    </w:p>
    <w:bookmarkStart w:id="45" w:name="risk-adjusted-return"/>
    <w:p>
      <w:pPr>
        <w:pStyle w:val="Heading3"/>
      </w:pPr>
      <w:r>
        <w:t xml:space="preserve">7.1 Risk-adjusted return</w:t>
      </w:r>
    </w:p>
    <w:p>
      <w:pPr>
        <w:pStyle w:val="FirstParagraph"/>
      </w:pPr>
      <w:r>
        <w:rPr>
          <w:rStyle w:val="VerbatimChar"/>
        </w:rPr>
        <w:t xml:space="preserve">bot/statistics.js</w:t>
      </w:r>
      <w:r>
        <w:t xml:space="preserve"> </w:t>
      </w:r>
      <w:r>
        <w:t xml:space="preserve">computes the standard summary statistics on an equity curve.</w:t>
      </w:r>
      <w:r>
        <w:t xml:space="preserve"> </w:t>
      </w:r>
      <w:r>
        <w:t xml:space="preserve">For a return series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</m:oMath>
      <w:r>
        <w:t xml:space="preserve">, the</w:t>
      </w:r>
      <w:r>
        <w:t xml:space="preserve"> </w:t>
      </w:r>
      <w:r>
        <w:t xml:space="preserve">annualised</w:t>
      </w:r>
      <w:r>
        <w:t xml:space="preserve"> </w:t>
      </w:r>
      <w:r>
        <w:rPr>
          <w:b/>
          <w:bCs/>
        </w:rPr>
        <w:t xml:space="preserve">Sharpe ratio</w:t>
      </w:r>
      <w:r>
        <w:t xml:space="preserve"> </w:t>
      </w:r>
      <w:r>
        <w:t xml:space="preserve">(with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periods per year and risk-free rate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num>
            <m:den>
              <m:r>
                <m:t>σ</m:t>
              </m:r>
            </m:den>
          </m:f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w:r>
        <w:rPr>
          <w:b/>
          <w:bCs/>
        </w:rPr>
        <w:t xml:space="preserve">Sortino ratio</w:t>
      </w:r>
      <w:r>
        <w:t xml:space="preserve"> </w:t>
      </w:r>
      <w:r>
        <w:t xml:space="preserve">replacing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by the downside deviation, and the</w:t>
      </w:r>
      <w:r>
        <w:t xml:space="preserve"> </w:t>
      </w:r>
      <w:r>
        <w:rPr>
          <w:b/>
          <w:bCs/>
        </w:rPr>
        <w:t xml:space="preserve">maximum drawdown</w:t>
      </w:r>
      <w:r>
        <w:t xml:space="preserve"> </w:t>
      </w:r>
      <w:r>
        <w:t xml:space="preserve">the largest peak-to-trough decline of the cumulative curve.</w:t>
      </w:r>
    </w:p>
    <w:bookmarkEnd w:id="45"/>
    <w:bookmarkStart w:id="46" w:name="the-probabilistic-sharpe-ratio"/>
    <w:p>
      <w:pPr>
        <w:pStyle w:val="Heading3"/>
      </w:pPr>
      <w:r>
        <w:t xml:space="preserve">7.2 The Probabilistic Sharpe Ratio</w:t>
      </w:r>
    </w:p>
    <w:p>
      <w:pPr>
        <w:pStyle w:val="FirstParagraph"/>
      </w:pPr>
      <w:r>
        <w:t xml:space="preserve">A Sharpe estimate from a finite, non-normal sample is itself uncertain. The</w:t>
      </w:r>
      <w:r>
        <w:t xml:space="preserve"> </w:t>
      </w:r>
      <w:r>
        <w:rPr>
          <w:b/>
          <w:bCs/>
        </w:rPr>
        <w:t xml:space="preserve">Probabilistic Sharpe Ratio</w:t>
      </w:r>
      <w:r>
        <w:t xml:space="preserve"> </w:t>
      </w:r>
      <w:r>
        <w:t xml:space="preserve">(Bailey &amp; López de Prado) gives the probability</w:t>
      </w:r>
      <w:r>
        <w:t xml:space="preserve"> </w:t>
      </w:r>
      <w:r>
        <w:t xml:space="preserve">that the true Sharpe exceeds a benchmark</w:t>
      </w:r>
      <w:r>
        <w:t xml:space="preserve"> </w:t>
      </w:r>
      <m:oMath>
        <m:sSup>
          <m:e>
            <m:r>
              <m:rPr>
                <m:nor/>
                <m:sty m:val="p"/>
              </m:rPr>
              <m:t>SR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, correcting for skew</w:t>
      </w:r>
      <w:r>
        <w:t xml:space="preserve"> </w:t>
      </w:r>
      <m:oMath>
        <m:sSub>
          <m:e>
            <m:r>
              <m:t>γ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kurtosis</w:t>
      </w:r>
      <w:r>
        <w:t xml:space="preserve"> </w:t>
      </w:r>
      <m:oMath>
        <m:sSub>
          <m:e>
            <m:r>
              <m:t>γ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 sample length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PSR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SR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SR</m:t>
                      </m:r>
                    </m:e>
                    <m:sup>
                      <m:r>
                        <m:rPr>
                          <m:sty m:val="p"/>
                        </m:rPr>
                        <m:t>⋆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 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SR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lin"/>
                        </m:fPr>
                        <m:num>
                          <m:sSub>
                            <m:e>
                              <m:r>
                                <m:t>γ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SR</m:t>
                              </m:r>
                            </m:e>
                          </m:acc>
                        </m:e>
                        <m:sup>
                          <m:r>
                            <m:t> </m:t>
                          </m:r>
                          <m:r>
                            <m:t>2</m:t>
                          </m:r>
                        </m:sup>
                      </m:sSup>
                      <m:r>
                        <m:t> </m:t>
                      </m:r>
                    </m:e>
                  </m:rad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standard-normal CDF. Fat tails and negative skew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the</w:t>
      </w:r>
      <w:r>
        <w:t xml:space="preserve"> </w:t>
      </w:r>
      <w:r>
        <w:t xml:space="preserve">PSR: the same point estimate is less trustworthy when returns are non-normal.</w:t>
      </w:r>
    </w:p>
    <w:bookmarkEnd w:id="46"/>
    <w:bookmarkStart w:id="47" w:name="the-deflated-sharpe-ratio"/>
    <w:p>
      <w:pPr>
        <w:pStyle w:val="Heading3"/>
      </w:pPr>
      <w:r>
        <w:t xml:space="preserve">7.3 The Deflated Sharpe Ratio</w:t>
      </w:r>
    </w:p>
    <w:p>
      <w:pPr>
        <w:pStyle w:val="FirstParagraph"/>
      </w:pPr>
      <w:r>
        <w:t xml:space="preserve">When a researcher tries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strategy variants and keeps the best, the maximum</w:t>
      </w:r>
      <w:r>
        <w:t xml:space="preserve"> </w:t>
      </w:r>
      <w:r>
        <w:t xml:space="preserve">observed Sharpe is inflated purely by selection. The</w:t>
      </w:r>
      <w:r>
        <w:t xml:space="preserve"> </w:t>
      </w:r>
      <w:r>
        <w:rPr>
          <w:b/>
          <w:bCs/>
        </w:rPr>
        <w:t xml:space="preserve">expected maximum Sharpe</w:t>
      </w:r>
      <w:r>
        <w:t xml:space="preserve"> </w:t>
      </w:r>
      <w:r>
        <w:t xml:space="preserve">under the null (all variants have zero true edge) is approximated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M</m:t>
              </m:r>
            </m:lim>
          </m:limLow>
          <m:acc>
            <m:accPr>
              <m:chr m:val="̂"/>
            </m:accPr>
            <m:e>
              <m:r>
                <m:rPr>
                  <m:nor/>
                  <m:sty m:val="p"/>
                </m:rPr>
                <m:t>SR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SR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the Euler–Mascheroni constant and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SR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cross-trial dispersion of Sharpe estimates. The</w:t>
      </w:r>
      <w:r>
        <w:t xml:space="preserve"> </w:t>
      </w:r>
      <w:r>
        <w:rPr>
          <w:b/>
          <w:bCs/>
        </w:rPr>
        <w:t xml:space="preserve">Deflated Sharpe Ratio</w:t>
      </w:r>
      <w:r>
        <w:t xml:space="preserve"> </w:t>
      </w:r>
      <w:r>
        <w:t xml:space="preserve">is then</w:t>
      </w:r>
      <w:r>
        <w:t xml:space="preserve"> </w:t>
      </w:r>
      <w:r>
        <w:t xml:space="preserve">the PSR benchmarked against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inflated threshold rather than zero:</w:t>
      </w:r>
      <w:r>
        <w:t xml:space="preserve"> </w:t>
      </w:r>
      <m:oMath>
        <m:r>
          <m:rPr>
            <m:nor/>
            <m:sty m:val="p"/>
          </m:rPr>
          <m:t>DSR</m:t>
        </m:r>
        <m:r>
          <m:rPr>
            <m:sty m:val="p"/>
          </m:rPr>
          <m:t>=</m:t>
        </m:r>
        <m:r>
          <m:rPr>
            <m:nor/>
            <m:sty m:val="p"/>
          </m:rPr>
          <m:t>PSR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max</m:t>
            </m:r>
          </m:e>
          <m:sub>
            <m:r>
              <m:t>M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SR</m:t>
            </m:r>
          </m:e>
        </m:acc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. A strategy with</w:t>
      </w:r>
      <w:r>
        <w:t xml:space="preserve"> </w:t>
      </w:r>
      <w:r>
        <w:t xml:space="preserve">a high raw Sharpe but a DSR below ~0.90 is statistically indistinguishable from</w:t>
      </w:r>
      <w:r>
        <w:t xml:space="preserve"> </w:t>
      </w:r>
      <w:r>
        <w:t xml:space="preserve">the luckiest of the variants that were tried.</w:t>
      </w:r>
    </w:p>
    <w:bookmarkEnd w:id="47"/>
    <w:bookmarkStart w:id="48" w:name="the-probability-of-backtest-overfitting"/>
    <w:p>
      <w:pPr>
        <w:pStyle w:val="Heading3"/>
      </w:pPr>
      <w:r>
        <w:t xml:space="preserve">7.4 The Probability of Backtest Overfitting</w:t>
      </w:r>
    </w:p>
    <w:p>
      <w:pPr>
        <w:pStyle w:val="FirstParagraph"/>
      </w:pPr>
      <w:r>
        <w:rPr>
          <w:rStyle w:val="VerbatimChar"/>
        </w:rPr>
        <w:t xml:space="preserve">probabilityOfBacktestOverfitting</w:t>
      </w:r>
      <w:r>
        <w:t xml:space="preserve"> </w:t>
      </w:r>
      <w:r>
        <w:t xml:space="preserve">implements</w:t>
      </w:r>
      <w:r>
        <w:t xml:space="preserve"> </w:t>
      </w:r>
      <w:r>
        <w:rPr>
          <w:b/>
          <w:bCs/>
        </w:rPr>
        <w:t xml:space="preserve">combinatorially-symmetric</w:t>
      </w:r>
      <w:r>
        <w:rPr>
          <w:b/>
          <w:bCs/>
        </w:rP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(CSCV). The performance matrix (strategies × time slices) is</w:t>
      </w:r>
      <w:r>
        <w:t xml:space="preserve"> </w:t>
      </w:r>
      <w:r>
        <w:t xml:space="preserve">split into all balanced combinations of in-sample and out-of-sample halves; for</w:t>
      </w:r>
      <w:r>
        <w:t xml:space="preserve"> </w:t>
      </w:r>
      <w:r>
        <w:t xml:space="preserve">each, the in-sample-best strategy’s out-of-sample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is recorded, mapped to</w:t>
      </w:r>
      <w:r>
        <w:t xml:space="preserve"> </w:t>
      </w:r>
      <w:r>
        <w:t xml:space="preserve">a logit</w:t>
      </w:r>
      <w:r>
        <w:t xml:space="preserve"> </w:t>
      </w:r>
      <m:oMath>
        <m:r>
          <m:t>λ</m:t>
        </m:r>
      </m:oMath>
      <w:r>
        <w:t xml:space="preserve">, and the PBO is the fraction of combinations in which the</w:t>
      </w:r>
      <w:r>
        <w:t xml:space="preserve"> </w:t>
      </w:r>
      <w:r>
        <w:t xml:space="preserve">in-sample winner underperforms the out-of-sample median (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PBO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PBO above 50% means selecting the best backtest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a coin flip</w:t>
      </w:r>
      <w:r>
        <w:t xml:space="preserve"> </w:t>
      </w:r>
      <w:r>
        <w:t xml:space="preserve">out of sample — a direct, model-agnostic measure of overfitting.</w:t>
      </w:r>
    </w:p>
    <w:bookmarkEnd w:id="48"/>
    <w:bookmarkStart w:id="49" w:name="the-gate"/>
    <w:p>
      <w:pPr>
        <w:pStyle w:val="Heading3"/>
      </w:pPr>
      <w:r>
        <w:t xml:space="preserve">7.5 The gate</w:t>
      </w:r>
    </w:p>
    <w:p>
      <w:pPr>
        <w:pStyle w:val="FirstParagraph"/>
      </w:pPr>
      <w:r>
        <w:t xml:space="preserve">A model is</w:t>
      </w:r>
      <w:r>
        <w:t xml:space="preserve"> </w:t>
      </w:r>
      <w:r>
        <w:rPr>
          <w:i/>
          <w:iCs/>
        </w:rPr>
        <w:t xml:space="preserve">eligible to publish</w:t>
      </w:r>
      <w:r>
        <w:t xml:space="preserve"> </w:t>
      </w:r>
      <w:r>
        <w:t xml:space="preserve">only if, on the held-out test window, it clears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Guards against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AUC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0.55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 directional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Out-of-sample Sharpe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0.5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poor risk-adjusted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Beats buy-and-hold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closet indexing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Deflated Sharpe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0.90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multiple-testing luck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trades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statistically empty backtest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rows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too little held-out data</w:t>
            </w:r>
          </w:p>
        </w:tc>
      </w:tr>
    </w:tbl>
    <w:p>
      <w:pPr>
        <w:pStyle w:val="BodyText"/>
      </w:pPr>
      <w:r>
        <w:t xml:space="preserve">The gate is deliberately demanding. The server re-checks eligibility on publish,</w:t>
      </w:r>
      <w:r>
        <w:t xml:space="preserve"> </w:t>
      </w:r>
      <w:r>
        <w:t xml:space="preserve">so a client cannot force a model through. Section 16 reports the honest</w:t>
      </w:r>
      <w:r>
        <w:t xml:space="preserve"> </w:t>
      </w:r>
      <w:r>
        <w:t xml:space="preserve">consequence: no daily-bar model currently clears it.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backtesting-methodology"/>
    <w:p>
      <w:pPr>
        <w:pStyle w:val="Heading2"/>
      </w:pPr>
      <w:r>
        <w:t xml:space="preserve">8. Backtesting Methodology</w:t>
      </w:r>
    </w:p>
    <w:p>
      <w:pPr>
        <w:pStyle w:val="FirstParagraph"/>
      </w:pPr>
      <w:r>
        <w:rPr>
          <w:rStyle w:val="VerbatimChar"/>
        </w:rPr>
        <w:t xml:space="preserve">bot/backtest.js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event-driven, point-in-time</w:t>
      </w:r>
      <w:r>
        <w:t xml:space="preserve"> </w:t>
      </w:r>
      <w:r>
        <w:t xml:space="preserve">backtester shared in</w:t>
      </w:r>
      <w:r>
        <w:t xml:space="preserve"> </w:t>
      </w:r>
      <w:r>
        <w:t xml:space="preserve">spirit with the live engine. Its correctness rests on three rules: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look-ahead.</w:t>
      </w:r>
      <w:r>
        <w:t xml:space="preserve"> </w:t>
      </w:r>
      <w:r>
        <w:t xml:space="preserve">At each bar</w:t>
      </w:r>
      <w:r>
        <w:t xml:space="preserve"> </w:t>
      </w:r>
      <m:oMath>
        <m:r>
          <m:t>t</m:t>
        </m:r>
      </m:oMath>
      <w:r>
        <w:t xml:space="preserve">, signals are computed from bars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Fills at the next bar’s open.</w:t>
      </w:r>
      <w:r>
        <w:t xml:space="preserve"> </w:t>
      </w:r>
      <w:r>
        <w:t xml:space="preserve">A signal generated on the close of bar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fills at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never at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. Filling at the signal bar’s close is the</w:t>
      </w:r>
      <w:r>
        <w:t xml:space="preserve"> </w:t>
      </w:r>
      <w:r>
        <w:t xml:space="preserve">classic way to fabricate returns; the backtester structurally forbids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Costs on every fill.</w:t>
      </w:r>
      <w:r>
        <w:t xml:space="preserve"> </w:t>
      </w:r>
      <w:r>
        <w:t xml:space="preserve">Each fill pays commission (0.5¢/share), slippage</w:t>
      </w:r>
      <w:r>
        <w:t xml:space="preserve"> </w:t>
      </w:r>
      <w:r>
        <w:t xml:space="preserve">(5 bps), and half-spread (2 bps). The reported cost drag is explicit.</w:t>
      </w:r>
    </w:p>
    <w:p>
      <w:pPr>
        <w:pStyle w:val="FirstParagraph"/>
      </w:pPr>
      <w:r>
        <w:t xml:space="preserve">Every run is compared to a</w:t>
      </w:r>
      <w:r>
        <w:t xml:space="preserve"> </w:t>
      </w:r>
      <w:r>
        <w:rPr>
          <w:b/>
          <w:bCs/>
        </w:rPr>
        <w:t xml:space="preserve">buy-and-hold</w:t>
      </w:r>
      <w:r>
        <w:t xml:space="preserve"> </w:t>
      </w:r>
      <w:r>
        <w:t xml:space="preserve">benchmark over the identical window.</w:t>
      </w:r>
      <w:r>
        <w:t xml:space="preserve"> </w:t>
      </w:r>
      <w:r>
        <w:rPr>
          <w:rStyle w:val="VerbatimChar"/>
        </w:rPr>
        <w:t xml:space="preserve">walkForward</w:t>
      </w:r>
      <w:r>
        <w:t xml:space="preserve"> </w:t>
      </w:r>
      <w:r>
        <w:t xml:space="preserve">runs rolling train/test folds and reports the fraction of folds in</w:t>
      </w:r>
      <w:r>
        <w:t xml:space="preserve"> </w:t>
      </w:r>
      <w:r>
        <w:t xml:space="preserve">which the strategy beats buy-and-hold and the consistency of that outperformance.</w:t>
      </w:r>
      <w:r>
        <w:t xml:space="preserve"> </w:t>
      </w:r>
      <w:r>
        <w:rPr>
          <w:rStyle w:val="VerbatimChar"/>
        </w:rPr>
        <w:t xml:space="preserve">sweepStrategies</w:t>
      </w:r>
      <w:r>
        <w:t xml:space="preserve"> </w:t>
      </w:r>
      <w:r>
        <w:t xml:space="preserve">tries many parameter variants and reports the Deflated Sharpe</w:t>
      </w:r>
      <w:r>
        <w:t xml:space="preserve"> </w:t>
      </w:r>
      <w:r>
        <w:t xml:space="preserve">and PBO</w:t>
      </w:r>
      <w:r>
        <w:t xml:space="preserve"> </w:t>
      </w:r>
      <w:r>
        <w:rPr>
          <w:b/>
          <w:bCs/>
        </w:rPr>
        <w:t xml:space="preserve">alongside</w:t>
      </w:r>
      <w:r>
        <w:t xml:space="preserve"> </w:t>
      </w:r>
      <w:r>
        <w:t xml:space="preserve">the raw numbers, so a user reads the honest picture rather</w:t>
      </w:r>
      <w:r>
        <w:t xml:space="preserve"> </w:t>
      </w:r>
      <w:r>
        <w:t xml:space="preserve">than the cherry-picked best.</w:t>
      </w:r>
    </w:p>
    <w:p>
      <w:pPr>
        <w:pStyle w:val="CaptionedFigure"/>
      </w:pPr>
      <w:r>
        <w:drawing>
          <wp:inline>
            <wp:extent cx="5334000" cy="4667250"/>
            <wp:effectExtent b="0" l="0" r="0" t="0"/>
            <wp:docPr descr="The backtester: strategy vs. buy-and-hold equity curves, a full metrics table, and the explicit cost drag." title="" id="52" name="Picture"/>
            <a:graphic>
              <a:graphicData uri="http://schemas.openxmlformats.org/drawingml/2006/picture">
                <pic:pic>
                  <pic:nvPicPr>
                    <pic:cNvPr descr="img/backtes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backtester: strategy vs. buy-and-hold equity curves, a full metrics table,</w:t>
      </w:r>
      <w:r>
        <w:t xml:space="preserve"> </w:t>
      </w:r>
      <w:r>
        <w:t xml:space="preserve">and the explicit cost drag.</w:t>
      </w:r>
    </w:p>
    <w:p>
      <w:pPr>
        <w:pStyle w:val="BodyText"/>
      </w:pPr>
      <w:r>
        <w:rPr>
          <w:i/>
          <w:iCs/>
        </w:rPr>
        <w:t xml:space="preserve">Figure 5. A single backtest run — strategy equity (orange) against buy-and-hold,</w:t>
      </w:r>
      <w:r>
        <w:rPr>
          <w:i/>
          <w:iCs/>
        </w:rPr>
        <w:t xml:space="preserve"> </w:t>
      </w:r>
      <w:r>
        <w:rPr>
          <w:i/>
          <w:iCs/>
        </w:rPr>
        <w:t xml:space="preserve">with a complete metrics table and the transaction-cost drag stated in dollars.</w:t>
      </w:r>
    </w:p>
    <w:p>
      <w:pPr>
        <w:pStyle w:val="BodyText"/>
      </w:pPr>
      <w:r>
        <w:t xml:space="preserve">When run on real SPY data, the tooling behaves exactly as it should: a rule</w:t>
      </w:r>
      <w:r>
        <w:t xml:space="preserve"> </w:t>
      </w:r>
      <w:r>
        <w:t xml:space="preserve">strategy returns +2.2% against buy-and-hold’s +81.6% over the window, with a</w:t>
      </w:r>
      <w:r>
        <w:t xml:space="preserve"> </w:t>
      </w:r>
      <w:r>
        <w:t xml:space="preserve">Deflated Sharpe of 0 and a PBO of 65% — correctly reporting</w:t>
      </w:r>
      <w:r>
        <w:t xml:space="preserve"> </w:t>
      </w:r>
      <w:r>
        <w:rPr>
          <w:i/>
          <w:iCs/>
        </w:rPr>
        <w:t xml:space="preserve">no edge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rule-based-trading-strategies"/>
    <w:p>
      <w:pPr>
        <w:pStyle w:val="Heading2"/>
      </w:pPr>
      <w:r>
        <w:t xml:space="preserve">9. Rule-Based Trading Strategies</w:t>
      </w:r>
    </w:p>
    <w:p>
      <w:pPr>
        <w:pStyle w:val="FirstParagraph"/>
      </w:pPr>
      <w:r>
        <w:rPr>
          <w:rStyle w:val="VerbatimChar"/>
        </w:rPr>
        <w:t xml:space="preserve">bot/strategies.js</w:t>
      </w:r>
      <w:r>
        <w:t xml:space="preserve"> </w:t>
      </w:r>
      <w:r>
        <w:t xml:space="preserve">provides six transparent strategies, each returning the same</w:t>
      </w:r>
      <w:r>
        <w:t xml:space="preserve"> </w:t>
      </w:r>
      <w:r>
        <w:t xml:space="preserve">shape</w:t>
      </w:r>
      <w:r>
        <w:t xml:space="preserve"> </w:t>
      </w:r>
      <w:r>
        <w:rPr>
          <w:rStyle w:val="VerbatimChar"/>
        </w:rPr>
        <w:t xml:space="preserve">{action, confidence, rationale}</w:t>
      </w:r>
      <w:r>
        <w:t xml:space="preserve"> </w:t>
      </w:r>
      <w:r>
        <w:t xml:space="preserve">so they compose: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RSI reversion</w:t>
      </w:r>
      <w:r>
        <w:t xml:space="preserve"> </w:t>
      </w:r>
      <w:r>
        <w:t xml:space="preserve">— buy oversold (</w:t>
      </w:r>
      <m:oMath>
        <m:r>
          <m:rPr>
            <m:nor/>
            <m:sty m:val="p"/>
          </m:rPr>
          <m:t>RSI</m:t>
        </m:r>
        <m:r>
          <m:rPr>
            <m:sty m:val="p"/>
          </m:rPr>
          <m:t>&lt;</m:t>
        </m:r>
        <m:r>
          <m:t>30</m:t>
        </m:r>
      </m:oMath>
      <w:r>
        <w:t xml:space="preserve">), sell overbought (</w:t>
      </w:r>
      <m:oMath>
        <m:r>
          <m:rPr>
            <m:sty m:val="p"/>
          </m:rPr>
          <m:t>&gt;</m:t>
        </m:r>
        <m:r>
          <m:t>70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MACD momentum</w:t>
      </w:r>
      <w:r>
        <w:t xml:space="preserve"> </w:t>
      </w:r>
      <w:r>
        <w:t xml:space="preserve">— follow the histogram sign, scaled by size relative to price.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Trend following</w:t>
      </w:r>
      <w:r>
        <w:t xml:space="preserve"> </w:t>
      </w:r>
      <w:r>
        <w:t xml:space="preserve">— the 50/200 golden/death cross confirmed by price vs. the</w:t>
      </w:r>
      <w:r>
        <w:t xml:space="preserve"> </w:t>
      </w:r>
      <w:r>
        <w:t xml:space="preserve">50-day.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Bollinger reversion</w:t>
      </w:r>
      <w:r>
        <w:t xml:space="preserve"> </w:t>
      </w:r>
      <w:r>
        <w:t xml:space="preserve">— fade moves outside the 20/2 bands.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Contrarian</w:t>
      </w:r>
      <w:r>
        <w:t xml:space="preserve"> </w:t>
      </w:r>
      <w:r>
        <w:t xml:space="preserve">— the default of the course trader bots: fade the latest move,</w:t>
      </w:r>
      <w:r>
        <w:t xml:space="preserve"> </w:t>
      </w:r>
      <m:oMath>
        <m:r>
          <m:rPr>
            <m:nor/>
            <m:sty m:val="p"/>
          </m:rPr>
          <m:t>position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sign</m:t>
        </m:r>
      </m:oMath>
      <w:r>
        <w:t xml:space="preserve"> </w:t>
      </w:r>
      <w:r>
        <w:t xml:space="preserve">of recent momentum, using the 12-EMA as</w:t>
      </w:r>
      <w:r>
        <w:t xml:space="preserve"> </w:t>
      </w:r>
      <w:r>
        <w:t xml:space="preserve">the momentum reference.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Indicator consensus</w:t>
      </w:r>
      <w:r>
        <w:t xml:space="preserve"> </w:t>
      </w:r>
      <w:r>
        <w:t xml:space="preserve">— the net vote across the twelve indicators in the</w:t>
      </w:r>
      <w:r>
        <w:t xml:space="preserve"> </w:t>
      </w:r>
      <w:r>
        <w:t xml:space="preserve">technical engine.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ensemble</w:t>
      </w:r>
      <w:r>
        <w:t xml:space="preserve"> </w:t>
      </w:r>
      <w:r>
        <w:t xml:space="preserve">takes a weighted vote across the enabled strategies; disagreement</w:t>
      </w:r>
      <w:r>
        <w:t xml:space="preserve"> </w:t>
      </w:r>
      <w:r>
        <w:t xml:space="preserve">shrinks the confidence, and position size is confidence-proportional. Five</w:t>
      </w:r>
      <w:r>
        <w:t xml:space="preserve"> </w:t>
      </w:r>
      <w:r>
        <w:rPr>
          <w:b/>
          <w:bCs/>
        </w:rPr>
        <w:t xml:space="preserve">presets</w:t>
      </w:r>
      <w:r>
        <w:t xml:space="preserve"> </w:t>
      </w:r>
      <w:r>
        <w:t xml:space="preserve">(conservative, balanced, aggressive, trend-only, reversion-only)</w:t>
      </w:r>
      <w:r>
        <w:t xml:space="preserve"> </w:t>
      </w:r>
      <w:r>
        <w:t xml:space="preserve">change how much the bot trades — pairing the two families that fail in opposite</w:t>
      </w:r>
      <w:r>
        <w:t xml:space="preserve"> </w:t>
      </w:r>
      <w:r>
        <w:t xml:space="preserve">regimes is what keeps the ensemble mostly still. Each strategy documents its</w:t>
      </w:r>
      <w:r>
        <w:t xml:space="preserve"> </w:t>
      </w:r>
      <w:r>
        <w:rPr>
          <w:rStyle w:val="VerbatimChar"/>
        </w:rPr>
        <w:t xml:space="preserve">worksWhen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failsWhen</w:t>
      </w:r>
      <w:r>
        <w:t xml:space="preserve"> </w:t>
      </w:r>
      <w:r>
        <w:t xml:space="preserve">in the UI.</w:t>
      </w:r>
    </w:p>
    <w:p>
      <w:r>
        <w:pict>
          <v:rect style="width:0;height:1.5pt" o:hralign="center" o:hrstd="t" o:hr="t"/>
        </w:pict>
      </w:r>
    </w:p>
    <w:bookmarkEnd w:id="55"/>
    <w:bookmarkStart w:id="64" w:name="the-trading-bot"/>
    <w:p>
      <w:pPr>
        <w:pStyle w:val="Heading2"/>
      </w:pPr>
      <w:r>
        <w:t xml:space="preserve">10. The Trading Bot</w:t>
      </w:r>
    </w:p>
    <w:p>
      <w:pPr>
        <w:pStyle w:val="FirstParagraph"/>
      </w:pPr>
      <w:r>
        <w:t xml:space="preserve">The bot (</w:t>
      </w:r>
      <w:r>
        <w:rPr>
          <w:rStyle w:val="VerbatimChar"/>
        </w:rPr>
        <w:t xml:space="preserve">bot/engine.js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bot/alpaca.js</w:t>
      </w:r>
      <w:r>
        <w:t xml:space="preserve">) trades a watchlist against an Alpaca</w:t>
      </w:r>
      <w:r>
        <w:t xml:space="preserve"> </w:t>
      </w:r>
      <w:r>
        <w:rPr>
          <w:b/>
          <w:bCs/>
        </w:rPr>
        <w:t xml:space="preserve">paper</w:t>
      </w:r>
      <w:r>
        <w:t xml:space="preserve"> </w:t>
      </w:r>
      <w:r>
        <w:t xml:space="preserve">account. It is off by default and every order passes a hard risk gate.</w:t>
      </w:r>
    </w:p>
    <w:p>
      <w:pPr>
        <w:pStyle w:val="CaptionedFigure"/>
      </w:pPr>
      <w:r>
        <w:drawing>
          <wp:inline>
            <wp:extent cx="5334000" cy="5818909"/>
            <wp:effectExtent b="0" l="0" r="0" t="0"/>
            <wp:docPr descr="The trading bot: on/off switch, account state, decision engine selector (rule strategies or a trained model), protective-exit controls, and the decision log." title="" id="57" name="Picture"/>
            <a:graphic>
              <a:graphicData uri="http://schemas.openxmlformats.org/drawingml/2006/picture">
                <pic:pic>
                  <pic:nvPicPr>
                    <pic:cNvPr descr="img/trading-bo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8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trading bot: on/off switch, account state, decision engine selector</w:t>
      </w:r>
      <w:r>
        <w:t xml:space="preserve"> </w:t>
      </w:r>
      <w:r>
        <w:t xml:space="preserve">(rule strategies or a trained model), protective-exit controls, and the decision</w:t>
      </w:r>
      <w:r>
        <w:t xml:space="preserve"> </w:t>
      </w:r>
      <w:r>
        <w:t xml:space="preserve">log.</w:t>
      </w:r>
    </w:p>
    <w:p>
      <w:pPr>
        <w:pStyle w:val="BodyText"/>
      </w:pPr>
      <w:r>
        <w:rPr>
          <w:i/>
          <w:iCs/>
        </w:rPr>
        <w:t xml:space="preserve">Figure 6. The trading bot — decision-engine selector, stop-loss/take-profit and</w:t>
      </w:r>
      <w:r>
        <w:rPr>
          <w:i/>
          <w:iCs/>
        </w:rPr>
        <w:t xml:space="preserve"> </w:t>
      </w:r>
      <w:r>
        <w:rPr>
          <w:i/>
          <w:iCs/>
        </w:rPr>
        <w:t xml:space="preserve">trailing controls, and the risk gate at work.</w:t>
      </w:r>
    </w:p>
    <w:bookmarkStart w:id="59" w:name="the-decision-loop"/>
    <w:p>
      <w:pPr>
        <w:pStyle w:val="Heading3"/>
      </w:pPr>
      <w:r>
        <w:t xml:space="preserve">10.1 The decision loop</w:t>
      </w:r>
    </w:p>
    <w:p>
      <w:pPr>
        <w:pStyle w:val="FirstParagraph"/>
      </w:pPr>
      <w:r>
        <w:t xml:space="preserve">Each cycle fetches account, positions and the market clock; checks halt</w:t>
      </w:r>
      <w:r>
        <w:t xml:space="preserve"> </w:t>
      </w:r>
      <w:r>
        <w:t xml:space="preserve">conditions; and for each watchlist symbol produces a decision either from the</w:t>
      </w:r>
      <w:r>
        <w:t xml:space="preserve"> </w:t>
      </w:r>
      <w:r>
        <w:t xml:space="preserve">rule ensemble or — if one is selected — from a trained ML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modelStrategy</w:t>
      </w:r>
      <w:r>
        <w:t xml:space="preserve">). The decision optionally passes through the LLM advisory layer,</w:t>
      </w:r>
      <w:r>
        <w:t xml:space="preserve"> </w:t>
      </w:r>
      <w:r>
        <w:t xml:space="preserve">then the risk gate, then execution.</w:t>
      </w:r>
    </w:p>
    <w:bookmarkEnd w:id="59"/>
    <w:bookmarkStart w:id="60" w:name="the-risk-gate"/>
    <w:p>
      <w:pPr>
        <w:pStyle w:val="Heading3"/>
      </w:pPr>
      <w:r>
        <w:t xml:space="preserve">10.2 The risk gate</w:t>
      </w:r>
    </w:p>
    <w:p>
      <w:pPr>
        <w:pStyle w:val="FirstParagraph"/>
      </w:pPr>
      <w:r>
        <w:rPr>
          <w:rStyle w:val="VerbatimChar"/>
        </w:rPr>
        <w:t xml:space="preserve">bot/risk-gate.js</w:t>
      </w:r>
      <w:r>
        <w:t xml:space="preserve"> </w:t>
      </w:r>
      <w:r>
        <w:t xml:space="preserve">is the safety core. Every order passes through</w:t>
      </w:r>
      <w:r>
        <w:t xml:space="preserve"> </w:t>
      </w:r>
      <w:r>
        <w:rPr>
          <w:rStyle w:val="VerbatimChar"/>
        </w:rPr>
        <w:t xml:space="preserve">evaluateOrder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rPr>
          <w:b/>
          <w:bCs/>
        </w:rPr>
        <w:t xml:space="preserve">clamps rather than rejects</w:t>
      </w:r>
      <w:r>
        <w:t xml:space="preserve"> </w:t>
      </w:r>
      <w:r>
        <w:t xml:space="preserve">where it can, enforcing hard ceilings that</w:t>
      </w:r>
      <w:r>
        <w:t xml:space="preserve"> </w:t>
      </w:r>
      <w:r>
        <w:t xml:space="preserve">code — not configuration — guarantees:</w:t>
      </w:r>
    </w:p>
    <w:p>
      <w:pPr>
        <w:pStyle w:val="Compact"/>
        <w:numPr>
          <w:ilvl w:val="0"/>
          <w:numId w:val="1007"/>
        </w:numPr>
      </w:pPr>
      <w:r>
        <w:t xml:space="preserve">Max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of equity per position; max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per sector; max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gross</w:t>
      </w:r>
      <w:r>
        <w:t xml:space="preserve"> </w:t>
      </w:r>
      <w:r>
        <w:t xml:space="preserve">exposure.</w:t>
      </w:r>
    </w:p>
    <w:p>
      <w:pPr>
        <w:pStyle w:val="Compact"/>
        <w:numPr>
          <w:ilvl w:val="0"/>
          <w:numId w:val="1007"/>
        </w:numPr>
      </w:pPr>
      <w:r>
        <w:t xml:space="preserve">Max</w:t>
      </w:r>
      <w:r>
        <w:t xml:space="preserve"> </w:t>
      </w:r>
      <w:r>
        <w:rPr>
          <w:b/>
          <w:bCs/>
        </w:rPr>
        <w:t xml:space="preserve">2%</w:t>
      </w:r>
      <w:r>
        <w:t xml:space="preserve"> </w:t>
      </w:r>
      <w:r>
        <w:t xml:space="preserve">daily loss (auto-clears overnight) and max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drawdown from the</w:t>
      </w:r>
      <w:r>
        <w:t xml:space="preserve"> </w:t>
      </w:r>
      <w:r>
        <w:t xml:space="preserve">high-water mark (requires a manual restart).</w:t>
      </w:r>
    </w:p>
    <w:p>
      <w:pPr>
        <w:pStyle w:val="Compact"/>
        <w:numPr>
          <w:ilvl w:val="0"/>
          <w:numId w:val="1007"/>
        </w:numPr>
      </w:pPr>
      <w:r>
        <w:t xml:space="preserve">Max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orders/day; a liquidity cap of a fraction of 20-day ADV; a</w:t>
      </w:r>
      <w:r>
        <w:t xml:space="preserve"> </w:t>
      </w:r>
      <w:r>
        <w:t xml:space="preserve">minimum order value to avoid dust.</w:t>
      </w:r>
    </w:p>
    <w:p>
      <w:pPr>
        <w:pStyle w:val="FirstParagraph"/>
      </w:pPr>
      <w:r>
        <w:rPr>
          <w:rStyle w:val="VerbatimChar"/>
        </w:rPr>
        <w:t xml:space="preserve">checkHaltConditions</w:t>
      </w:r>
      <w:r>
        <w:t xml:space="preserve"> </w:t>
      </w:r>
      <w:r>
        <w:t xml:space="preserve">distinguishes a daily-loss halt (temporary) from a</w:t>
      </w:r>
      <w:r>
        <w:t xml:space="preserve"> </w:t>
      </w:r>
      <w:r>
        <w:t xml:space="preserve">drawdown halt (which requires a deliberate restart), so a bad day cannot silently</w:t>
      </w:r>
      <w:r>
        <w:t xml:space="preserve"> </w:t>
      </w:r>
      <w:r>
        <w:t xml:space="preserve">resume into a bad week.</w:t>
      </w:r>
    </w:p>
    <w:bookmarkEnd w:id="60"/>
    <w:bookmarkStart w:id="61" w:name="position-sizing"/>
    <w:p>
      <w:pPr>
        <w:pStyle w:val="Heading3"/>
      </w:pPr>
      <w:r>
        <w:t xml:space="preserve">10.3 Position sizing</w:t>
      </w:r>
    </w:p>
    <w:p>
      <w:pPr>
        <w:pStyle w:val="FirstParagraph"/>
      </w:pPr>
      <w:r>
        <w:t xml:space="preserve">Size is confidence-proportional, bounded by the position ceiling: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f>
              <m:fPr>
                <m:type m:val="lin"/>
              </m:fPr>
              <m:num>
                <m:r>
                  <m:t>E</m:t>
                </m:r>
                <m:r>
                  <m:rPr>
                    <m:sty m:val="p"/>
                  </m:rPr>
                  <m:t>⋅</m:t>
                </m:r>
                <m:r>
                  <m:t>m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max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min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P</m:t>
                </m:r>
              </m:den>
            </m:f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equity,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max-position fraction,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the decision confidence,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the price.</w:t>
      </w:r>
    </w:p>
    <w:bookmarkEnd w:id="61"/>
    <w:bookmarkStart w:id="62" w:name="protective-exits"/>
    <w:p>
      <w:pPr>
        <w:pStyle w:val="Heading3"/>
      </w:pPr>
      <w:r>
        <w:t xml:space="preserve">10.4 Protective exits</w:t>
      </w:r>
    </w:p>
    <w:p>
      <w:pPr>
        <w:pStyle w:val="FirstParagraph"/>
      </w:pPr>
      <w:r>
        <w:rPr>
          <w:rStyle w:val="VerbatimChar"/>
        </w:rPr>
        <w:t xml:space="preserve">bot/brackets.js</w:t>
      </w:r>
      <w:r>
        <w:t xml:space="preserve"> </w:t>
      </w:r>
      <w:r>
        <w:t xml:space="preserve">computes tick-rounded stop-loss and take-profit prices for a</w:t>
      </w:r>
      <w:r>
        <w:t xml:space="preserve"> </w:t>
      </w:r>
      <w:r>
        <w:t xml:space="preserve">long entry (</w:t>
      </w:r>
      <m:oMath>
        <m:r>
          <m:rPr>
            <m:nor/>
            <m:sty m:val="p"/>
          </m:rPr>
          <m:t>stop</m:t>
        </m:r>
        <m:r>
          <m:rPr>
            <m:sty m:val="p"/>
          </m:rPr>
          <m:t>&lt;</m:t>
        </m:r>
        <m:r>
          <m:rPr>
            <m:nor/>
            <m:sty m:val="p"/>
          </m:rPr>
          <m:t>entry</m:t>
        </m:r>
        <m:r>
          <m:rPr>
            <m:sty m:val="p"/>
          </m:rPr>
          <m:t>&lt;</m:t>
        </m:r>
        <m:r>
          <m:rPr>
            <m:nor/>
            <m:sty m:val="p"/>
          </m:rPr>
          <m:t>target</m:t>
        </m:r>
      </m:oMath>
      <w:r>
        <w:t xml:space="preserve">) and submits them as an</w:t>
      </w:r>
      <w:r>
        <w:t xml:space="preserve"> </w:t>
      </w:r>
      <w:r>
        <w:t xml:space="preserve">Alpaca</w:t>
      </w:r>
      <w:r>
        <w:t xml:space="preserve"> </w:t>
      </w:r>
      <w:r>
        <w:rPr>
          <w:b/>
          <w:bCs/>
        </w:rPr>
        <w:t xml:space="preserve">bracket order</w:t>
      </w:r>
      <w:r>
        <w:t xml:space="preserve">, so the exits are managed broker-side and fire even if</w:t>
      </w:r>
      <w:r>
        <w:t xml:space="preserve"> </w:t>
      </w:r>
      <w:r>
        <w:t xml:space="preserve">the bot process is down. Percentages are capped (stop</w:t>
      </w:r>
      <w:r>
        <w:t xml:space="preserve"> </w:t>
      </w:r>
      <m:oMath>
        <m:r>
          <m:rPr>
            <m:sty m:val="p"/>
          </m:rPr>
          <m:t>≤</m:t>
        </m:r>
        <m:r>
          <m:t>50</m:t>
        </m:r>
        <m:r>
          <m:rPr>
            <m:sty m:val="p"/>
          </m:rPr>
          <m:t>%</m:t>
        </m:r>
      </m:oMath>
      <w:r>
        <w:t xml:space="preserve">, target</w:t>
      </w:r>
      <w:r>
        <w:t xml:space="preserve"> </w:t>
      </w:r>
      <m:oMath>
        <m:r>
          <m:rPr>
            <m:sty m:val="p"/>
          </m:rPr>
          <m:t>≤</m:t>
        </m:r>
        <m:r>
          <m:t>200</m:t>
        </m:r>
        <m:r>
          <m:rPr>
            <m:sty m:val="p"/>
          </m:rPr>
          <m:t>%</m:t>
        </m:r>
      </m:oMath>
      <w:r>
        <w:t xml:space="preserve">) so a fat-finger cannot disarm the protection. A</w:t>
      </w:r>
      <w:r>
        <w:t xml:space="preserve"> </w:t>
      </w:r>
      <w:r>
        <w:rPr>
          <w:b/>
          <w:bCs/>
        </w:rPr>
        <w:t xml:space="preserve">live trailing</w:t>
      </w:r>
      <w:r>
        <w:rPr>
          <w:b/>
          <w:bCs/>
        </w:rP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ratchets a per-symbol high-water mark each cycle and forces an exit when</w:t>
      </w:r>
      <w:r>
        <w:t xml:space="preserve"> </w:t>
      </w:r>
      <w:r>
        <w:t xml:space="preserve">price falls the trail distance below the peak; it runs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LLM review so a</w:t>
      </w:r>
      <w:r>
        <w:t xml:space="preserve"> </w:t>
      </w:r>
      <w:r>
        <w:t xml:space="preserve">protective stop can never be vetoed.</w:t>
      </w:r>
    </w:p>
    <w:bookmarkEnd w:id="62"/>
    <w:bookmarkStart w:id="63" w:name="the-kill-switch-and-self-training"/>
    <w:p>
      <w:pPr>
        <w:pStyle w:val="Heading3"/>
      </w:pPr>
      <w:r>
        <w:t xml:space="preserve">10.5 The kill switch and self-training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kill switch</w:t>
      </w:r>
      <w:r>
        <w:t xml:space="preserve"> </w:t>
      </w:r>
      <w:r>
        <w:t xml:space="preserve">disables the bot, cancels working orders, flattens all</w:t>
      </w:r>
      <w:r>
        <w:t xml:space="preserve"> </w:t>
      </w:r>
      <w:r>
        <w:t xml:space="preserve">positions, and requires a manual restart.</w:t>
      </w:r>
      <w:r>
        <w:t xml:space="preserve"> </w:t>
      </w:r>
      <w:r>
        <w:rPr>
          <w:b/>
          <w:bCs/>
        </w:rPr>
        <w:t xml:space="preserve">Auto-train</w:t>
      </w:r>
      <w:r>
        <w:t xml:space="preserve"> </w:t>
      </w:r>
      <w:r>
        <w:t xml:space="preserve">trains a model on every</w:t>
      </w:r>
      <w:r>
        <w:t xml:space="preserve"> </w:t>
      </w:r>
      <w:r>
        <w:t xml:space="preserve">watchlist symbol and auto-selects the strongest — preferring one that clears the</w:t>
      </w:r>
      <w:r>
        <w:t xml:space="preserve"> </w:t>
      </w:r>
      <w:r>
        <w:t xml:space="preserve">publish gate, else the best out-of-sample AUC — and honestly reports</w:t>
      </w:r>
      <w:r>
        <w:t xml:space="preserve"> </w:t>
      </w:r>
      <w:r>
        <w:t xml:space="preserve">“none worth</w:t>
      </w:r>
      <w:r>
        <w:t xml:space="preserve"> </w:t>
      </w:r>
      <w:r>
        <w:t xml:space="preserve">using”</w:t>
      </w:r>
      <w:r>
        <w:t xml:space="preserve"> </w:t>
      </w:r>
      <w:r>
        <w:t xml:space="preserve">when nothing qualifies.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he-llm-advisory-layer"/>
    <w:p>
      <w:pPr>
        <w:pStyle w:val="Heading2"/>
      </w:pPr>
      <w:r>
        <w:t xml:space="preserve">11. The LLM Advisory Layer</w:t>
      </w:r>
    </w:p>
    <w:p>
      <w:pPr>
        <w:pStyle w:val="FirstParagraph"/>
      </w:pPr>
      <w:r>
        <w:rPr>
          <w:rStyle w:val="VerbatimChar"/>
        </w:rPr>
        <w:t xml:space="preserve">bot/mistral.js</w:t>
      </w:r>
      <w:r>
        <w:t xml:space="preserve"> </w:t>
      </w:r>
      <w:r>
        <w:t xml:space="preserve">adds a Mistral LLM as a strictly</w:t>
      </w:r>
      <w:r>
        <w:t xml:space="preserve"> </w:t>
      </w:r>
      <w:r>
        <w:rPr>
          <w:b/>
          <w:bCs/>
        </w:rPr>
        <w:t xml:space="preserve">advisory</w:t>
      </w:r>
      <w:r>
        <w:t xml:space="preserve"> </w:t>
      </w:r>
      <w:r>
        <w:t xml:space="preserve">reviewer. It sees</w:t>
      </w:r>
      <w:r>
        <w:t xml:space="preserve"> </w:t>
      </w:r>
      <w:r>
        <w:t xml:space="preserve">a decision the quantitative layers already made and returns a structured</w:t>
      </w:r>
      <w:r>
        <w:t xml:space="preserve"> </w:t>
      </w:r>
      <w:r>
        <w:t xml:space="preserve">stance (</w:t>
      </w:r>
      <w:r>
        <w:rPr>
          <w:rStyle w:val="VerbatimChar"/>
        </w:rPr>
        <w:t xml:space="preserve">AGREE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DISAGREE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CAUTION</w:t>
      </w:r>
      <w:r>
        <w:t xml:space="preserve">) with confidence and a stated key risk.</w:t>
      </w:r>
      <w:r>
        <w:t xml:space="preserve"> </w:t>
      </w:r>
      <w:r>
        <w:t xml:space="preserve">Its influence is one-directional — toward doing</w:t>
      </w:r>
      <w:r>
        <w:t xml:space="preserve"> </w:t>
      </w:r>
      <w:r>
        <w:rPr>
          <w:i/>
          <w:iCs/>
        </w:rPr>
        <w:t xml:space="preserve">less</w:t>
      </w:r>
      <w:r>
        <w:t xml:space="preserve">: a confident</w:t>
      </w:r>
      <w:r>
        <w:t xml:space="preserve"> </w:t>
      </w:r>
      <w:r>
        <w:rPr>
          <w:rStyle w:val="VerbatimChar"/>
        </w:rPr>
        <w:t xml:space="preserve">DISAGREE</w:t>
      </w:r>
      <w:r>
        <w:t xml:space="preserve"> </w:t>
      </w:r>
      <w:r>
        <w:t xml:space="preserve">vetoes the trade (forces</w:t>
      </w:r>
      <w:r>
        <w:t xml:space="preserve"> </w:t>
      </w:r>
      <w:r>
        <w:rPr>
          <w:rStyle w:val="VerbatimChar"/>
        </w:rPr>
        <w:t xml:space="preserve">HOLD</w:t>
      </w:r>
      <w:r>
        <w:t xml:space="preserve">); a</w:t>
      </w:r>
      <w:r>
        <w:t xml:space="preserve"> </w:t>
      </w:r>
      <w:r>
        <w:rPr>
          <w:rStyle w:val="VerbatimChar"/>
        </w:rPr>
        <w:t xml:space="preserve">CAUTION</w:t>
      </w:r>
      <w:r>
        <w:t xml:space="preserve"> </w:t>
      </w:r>
      <w:r>
        <w:t xml:space="preserve">or weak</w:t>
      </w:r>
      <w:r>
        <w:t xml:space="preserve"> </w:t>
      </w:r>
      <w:r>
        <w:rPr>
          <w:rStyle w:val="VerbatimChar"/>
        </w:rPr>
        <w:t xml:space="preserve">DISAGREE</w:t>
      </w:r>
      <w:r>
        <w:t xml:space="preserve"> </w:t>
      </w:r>
      <w:r>
        <w:t xml:space="preserve">halves the</w:t>
      </w:r>
      <w:r>
        <w:t xml:space="preserve"> </w:t>
      </w:r>
      <w:r>
        <w:t xml:space="preserve">confidence (and thus the size). It can never originate a trade, flip a direction,</w:t>
      </w:r>
      <w:r>
        <w:t xml:space="preserve"> </w:t>
      </w:r>
      <w:r>
        <w:t xml:space="preserve">or increase size. Every call is logged with its full response, a daily budget cap</w:t>
      </w:r>
      <w:r>
        <w:t xml:space="preserve"> </w:t>
      </w:r>
      <w:r>
        <w:t xml:space="preserve">is enforced, and the layer degrades to a no-op when unavailable. This containment</w:t>
      </w:r>
      <w:r>
        <w:t xml:space="preserve"> </w:t>
      </w:r>
      <w:r>
        <w:t xml:space="preserve">is deliberate: the LLM’s qualitative context (an earnings event, a news shock) is</w:t>
      </w:r>
      <w:r>
        <w:t xml:space="preserve"> </w:t>
      </w:r>
      <w:r>
        <w:t xml:space="preserve">valuable, but its failure modes — non-determinism, confident nonsense — are</w:t>
      </w:r>
      <w:r>
        <w:t xml:space="preserve"> </w:t>
      </w:r>
      <w:r>
        <w:t xml:space="preserve">neutralised by giving it no execution authority.</w:t>
      </w:r>
    </w:p>
    <w:p>
      <w:r>
        <w:pict>
          <v:rect style="width:0;height:1.5pt" o:hralign="center" o:hrstd="t" o:hr="t"/>
        </w:pict>
      </w:r>
    </w:p>
    <w:bookmarkEnd w:id="65"/>
    <w:bookmarkStart w:id="82" w:name="portfolio-and-valuation-analytics"/>
    <w:p>
      <w:pPr>
        <w:pStyle w:val="Heading2"/>
      </w:pPr>
      <w:r>
        <w:t xml:space="preserve">12. Portfolio and Valuation Analytics</w:t>
      </w:r>
    </w:p>
    <w:bookmarkStart w:id="69" w:name="mean-variance-optimisation"/>
    <w:p>
      <w:pPr>
        <w:pStyle w:val="Heading3"/>
      </w:pPr>
      <w:r>
        <w:t xml:space="preserve">12.1 Mean-variance optimisation</w:t>
      </w:r>
    </w:p>
    <w:p>
      <w:pPr>
        <w:pStyle w:val="FirstParagraph"/>
      </w:pPr>
      <w:r>
        <w:rPr>
          <w:rStyle w:val="VerbatimChar"/>
        </w:rPr>
        <w:t xml:space="preserve">portfolio-math.js</w:t>
      </w:r>
      <w:r>
        <w:t xml:space="preserve"> </w:t>
      </w:r>
      <w:r>
        <w:t xml:space="preserve">implements Markowitz optimisation in closed form via</w:t>
      </w:r>
      <w:r>
        <w:t xml:space="preserve"> </w:t>
      </w:r>
      <w:r>
        <w:rPr>
          <w:b/>
          <w:bCs/>
        </w:rPr>
        <w:t xml:space="preserve">two-fund separation</w:t>
      </w:r>
      <w:r>
        <w:t xml:space="preserve">. Given the covariance matrix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 mean-return</w:t>
      </w:r>
      <w:r>
        <w:t xml:space="preserve"> </w:t>
      </w:r>
      <w:r>
        <w:t xml:space="preserve">vector</w:t>
      </w:r>
      <w:r>
        <w:t xml:space="preserve"> </w:t>
      </w:r>
      <m:oMath>
        <m:r>
          <m:t>μ</m:t>
        </m:r>
      </m:oMath>
      <w:r>
        <w:t xml:space="preserve">, with</w:t>
      </w:r>
      <w:r>
        <w:t xml:space="preserve"> </w:t>
      </w:r>
      <m:oMath>
        <m:r>
          <m:rPr>
            <m:sty m:val="b"/>
          </m:rPr>
          <m:t>1</m:t>
        </m:r>
      </m:oMath>
      <w:r>
        <w:t xml:space="preserve"> </w:t>
      </w:r>
      <w:r>
        <w:t xml:space="preserve">the ones vector, define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"/>
          </m:rP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μ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μ</m:t>
        </m:r>
      </m:oMath>
      <w:r>
        <w:t xml:space="preserve">. The</w:t>
      </w:r>
      <w:r>
        <w:t xml:space="preserve"> </w:t>
      </w:r>
      <w:r>
        <w:rPr>
          <w:b/>
          <w:bCs/>
        </w:rPr>
        <w:t xml:space="preserve">global minimum-variance</w:t>
      </w:r>
      <w:r>
        <w:t xml:space="preserve"> </w:t>
      </w:r>
      <w:r>
        <w:t xml:space="preserve">portfolio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mv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every frontier portfolio is a combination of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mv</m:t>
            </m:r>
          </m:sub>
        </m:sSub>
      </m:oMath>
      <w:r>
        <w:t xml:space="preserve"> </w:t>
      </w:r>
      <w:r>
        <w:t xml:space="preserve">and a second</w:t>
      </w:r>
      <w:r>
        <w:t xml:space="preserve"> </w:t>
      </w:r>
      <w:r>
        <w:t xml:space="preserve">efficient fund. The efficient frontier is traced by sweeping the risk-aversion</w:t>
      </w:r>
      <w:r>
        <w:t xml:space="preserve"> </w:t>
      </w:r>
      <w:r>
        <w:t xml:space="preserve">parameter</w:t>
      </w:r>
      <w: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(clamped non-negative so the lower, dominated branch of</w:t>
      </w:r>
      <w:r>
        <w:t xml:space="preserve"> </w:t>
      </w:r>
      <w:r>
        <w:t xml:space="preserve">the hyperbola is excluded — a bug the monotonicity test caught early). The</w:t>
      </w:r>
      <w:r>
        <w:t xml:space="preserve"> </w:t>
      </w:r>
      <w:r>
        <w:rPr>
          <w:b/>
          <w:bCs/>
        </w:rPr>
        <w:t xml:space="preserve">tangency</w:t>
      </w:r>
      <w:r>
        <w:t xml:space="preserve"> </w:t>
      </w:r>
      <w:r>
        <w:t xml:space="preserve">(max-Sharpe) portfolio maximises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t>μ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Σ</m:t>
            </m:r>
            <m:r>
              <m:t>w</m:t>
            </m:r>
          </m:e>
        </m:rad>
      </m:oMath>
      <w:r>
        <w:t xml:space="preserve">.</w:t>
      </w:r>
    </w:p>
    <w:p>
      <w:pPr>
        <w:pStyle w:val="CaptionedFigure"/>
      </w:pPr>
      <w:r>
        <w:drawing>
          <wp:inline>
            <wp:extent cx="5334000" cy="4222750"/>
            <wp:effectExtent b="0" l="0" r="0" t="0"/>
            <wp:docPr descr="The optimiser: the efficient frontier with the minimum-variance and max-Sharpe portfolios against the current allocation." title="" id="67" name="Picture"/>
            <a:graphic>
              <a:graphicData uri="http://schemas.openxmlformats.org/drawingml/2006/picture">
                <pic:pic>
                  <pic:nvPicPr>
                    <pic:cNvPr descr="img/optimiser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optimiser: the efficient frontier with the minimum-variance and</w:t>
      </w:r>
      <w:r>
        <w:t xml:space="preserve"> </w:t>
      </w:r>
      <w:r>
        <w:t xml:space="preserve">max-Sharpe portfolios against the current allocation.</w:t>
      </w:r>
    </w:p>
    <w:p>
      <w:pPr>
        <w:pStyle w:val="BodyText"/>
      </w:pPr>
      <w:r>
        <w:rPr>
          <w:i/>
          <w:iCs/>
        </w:rPr>
        <w:t xml:space="preserve">Figure 7. Portfolio optimisation — the efficient frontier and the special</w:t>
      </w:r>
      <w:r>
        <w:rPr>
          <w:i/>
          <w:iCs/>
        </w:rPr>
        <w:t xml:space="preserve"> </w:t>
      </w:r>
      <w:r>
        <w:rPr>
          <w:i/>
          <w:iCs/>
        </w:rPr>
        <w:t xml:space="preserve">portfolios, labelled clearly as a historical-input model.</w:t>
      </w:r>
    </w:p>
    <w:bookmarkEnd w:id="69"/>
    <w:bookmarkStart w:id="73" w:name="value-at-risk"/>
    <w:p>
      <w:pPr>
        <w:pStyle w:val="Heading3"/>
      </w:pPr>
      <w:r>
        <w:t xml:space="preserve">12.2 Value at Risk</w:t>
      </w:r>
    </w:p>
    <w:p>
      <w:pPr>
        <w:pStyle w:val="FirstParagraph"/>
      </w:pPr>
      <w:r>
        <w:t xml:space="preserve">The VaR panel computes 95%/99% VaR and Conditional VaR (expected shortfall) by</w:t>
      </w:r>
      <w:r>
        <w:t xml:space="preserve"> </w:t>
      </w:r>
      <w:r>
        <w:rPr>
          <w:b/>
          <w:bCs/>
        </w:rPr>
        <w:t xml:space="preserve">three methods</w:t>
      </w:r>
      <w:r>
        <w:t xml:space="preserve"> </w:t>
      </w:r>
      <w:r>
        <w:t xml:space="preserve">whose disagreement is itself informative: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Historical</w:t>
      </w:r>
      <w:r>
        <w:t xml:space="preserve"> </w:t>
      </w:r>
      <w:r>
        <w:t xml:space="preserve">— the empirical quantile of realised returns.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Parametric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rPr>
                <m:nor/>
                <m:sty m:val="p"/>
              </m:rPr>
              <m:t>VaR</m:t>
            </m:r>
          </m:e>
          <m:sub>
            <m:r>
              <m:t>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α</m:t>
            </m:r>
          </m:sub>
        </m:sSub>
        <m:r>
          <m:t>σ</m:t>
        </m:r>
        <m:r>
          <m:rPr>
            <m:sty m:val="p"/>
          </m:rPr>
          <m:t>)</m:t>
        </m:r>
        <m:r>
          <m:t> </m:t>
        </m:r>
        <m:r>
          <m:t>V</m:t>
        </m:r>
      </m:oMath>
      <w:r>
        <w:t xml:space="preserve"> </w:t>
      </w:r>
      <w:r>
        <w:t xml:space="preserve">under</w:t>
      </w:r>
      <w:r>
        <w:t xml:space="preserve"> </w:t>
      </w:r>
      <w:r>
        <w:t xml:space="preserve">normality, with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the standard-normal quantile.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Monte Carlo</w:t>
      </w:r>
      <w:r>
        <w:t xml:space="preserve"> </w:t>
      </w:r>
      <w:r>
        <w:t xml:space="preserve">— simulated draws from the fitted distribution.</w:t>
      </w:r>
    </w:p>
    <w:p>
      <w:pPr>
        <w:pStyle w:val="FirstParagraph"/>
      </w:pPr>
      <w:r>
        <w:t xml:space="preserve">Fat tails show up precisely as historical VaR exceeding parametric VaR; CVaR</w:t>
      </w:r>
      <w:r>
        <w:t xml:space="preserve"> </w:t>
      </w:r>
      <w:r>
        <w:t xml:space="preserve">(the mean loss beyond the VaR threshold) captures the tail the quantile omits.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Value at Risk by three methods, with CVaR and the volatility diagnostics." title="" id="71" name="Picture"/>
            <a:graphic>
              <a:graphicData uri="http://schemas.openxmlformats.org/drawingml/2006/picture">
                <pic:pic>
                  <pic:nvPicPr>
                    <pic:cNvPr descr="img/value-at-risk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Value at Risk by three methods, with CVaR and the volatility</w:t>
      </w:r>
      <w:r>
        <w:t xml:space="preserve"> </w:t>
      </w:r>
      <w:r>
        <w:t xml:space="preserve">diagnostics.</w:t>
      </w:r>
    </w:p>
    <w:p>
      <w:pPr>
        <w:pStyle w:val="BodyText"/>
      </w:pPr>
      <w:r>
        <w:rPr>
          <w:i/>
          <w:iCs/>
        </w:rPr>
        <w:t xml:space="preserve">Figure 8. Three-method VaR — historical, parametric, and Monte-Carlo — with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Conditional VaR and volatility, modelled from the return history.</w:t>
      </w:r>
    </w:p>
    <w:bookmarkEnd w:id="73"/>
    <w:bookmarkStart w:id="77" w:name="factor-exposure"/>
    <w:p>
      <w:pPr>
        <w:pStyle w:val="Heading3"/>
      </w:pPr>
      <w:r>
        <w:t xml:space="preserve">12.3 Factor exposure</w:t>
      </w:r>
    </w:p>
    <w:p>
      <w:pPr>
        <w:pStyle w:val="FirstParagraph"/>
      </w:pPr>
      <w:r>
        <w:rPr>
          <w:rStyle w:val="VerbatimChar"/>
        </w:rPr>
        <w:t xml:space="preserve">regression.js</w:t>
      </w:r>
      <w:r>
        <w:t xml:space="preserve"> </w:t>
      </w:r>
      <w:r>
        <w:t xml:space="preserve">provides multiple OLS regression with</w:t>
      </w:r>
      <w:r>
        <w:t xml:space="preserve"> </w:t>
      </w:r>
      <m:oMath>
        <m:r>
          <m:t>p</m:t>
        </m:r>
      </m:oMath>
      <w:r>
        <w:t xml:space="preserve">-values. The factor</w:t>
      </w:r>
      <w:r>
        <w:t xml:space="preserve"> </w:t>
      </w:r>
      <w:r>
        <w:t xml:space="preserve">panel regresses portfolio returns on Fama–French-style factor proxies (market,</w:t>
      </w:r>
      <w:r>
        <w:t xml:space="preserve"> </w:t>
      </w:r>
      <w:r>
        <w:t xml:space="preserve">size, value, momentum via representative ETFs),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to reveal unintended style tilts; each loading is reported with its significance.</w:t>
      </w:r>
    </w:p>
    <w:p>
      <w:pPr>
        <w:pStyle w:val="CaptionedFigure"/>
      </w:pPr>
      <w:r>
        <w:drawing>
          <wp:inline>
            <wp:extent cx="5334000" cy="3778249"/>
            <wp:effectExtent b="0" l="0" r="0" t="0"/>
            <wp:docPr descr="Factor exposure — regression loadings on the market, size, value, and momentum factors." title="" id="75" name="Picture"/>
            <a:graphic>
              <a:graphicData uri="http://schemas.openxmlformats.org/drawingml/2006/picture">
                <pic:pic>
                  <pic:nvPicPr>
                    <pic:cNvPr descr="img/factor-exposur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Factor exposure — regression loadings on the market, size, value, and</w:t>
      </w:r>
      <w:r>
        <w:t xml:space="preserve"> </w:t>
      </w:r>
      <w:r>
        <w:t xml:space="preserve">momentum factors.</w:t>
      </w:r>
    </w:p>
    <w:p>
      <w:pPr>
        <w:pStyle w:val="BodyText"/>
      </w:pPr>
      <w:r>
        <w:rPr>
          <w:i/>
          <w:iCs/>
        </w:rPr>
        <w:t xml:space="preserve">Figure 9. Factor regression — the portfolio’s style tilts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significance.</w:t>
      </w:r>
    </w:p>
    <w:bookmarkEnd w:id="77"/>
    <w:bookmarkStart w:id="81" w:name="dcf-valuation-and-time-value-of-money"/>
    <w:p>
      <w:pPr>
        <w:pStyle w:val="Heading3"/>
      </w:pPr>
      <w:r>
        <w:t xml:space="preserve">12.4 DCF valuation and time value of money</w:t>
      </w:r>
    </w:p>
    <w:p>
      <w:pPr>
        <w:pStyle w:val="FirstParagraph"/>
      </w:pPr>
      <w:r>
        <w:t xml:space="preserve">The DCF panel discounts projected free cash flows with a Gordon-growth terminal</w:t>
      </w:r>
      <w:r>
        <w:t xml:space="preserve"> </w:t>
      </w:r>
      <w:r>
        <w:t xml:space="preserve">value and a WACC × terminal-growth sensitivity grid, producing an intrinsic value</w:t>
      </w:r>
      <w:r>
        <w:t xml:space="preserve"> </w:t>
      </w:r>
      <w:r>
        <w:t xml:space="preserve">against market price — labelled, emphatically, as a model only as good as its</w:t>
      </w:r>
      <w:r>
        <w:t xml:space="preserve"> </w:t>
      </w:r>
      <w:r>
        <w:t xml:space="preserve">inputs.</w:t>
      </w:r>
    </w:p>
    <w:p>
      <w:pPr>
        <w:pStyle w:val="CaptionedFigure"/>
      </w:pPr>
      <w:r>
        <w:drawing>
          <wp:inline>
            <wp:extent cx="5334000" cy="4222750"/>
            <wp:effectExtent b="0" l="0" r="0" t="0"/>
            <wp:docPr descr="Discounted cash-flow valuation with an editable assumption set and a sensitivity grid." title="" id="79" name="Picture"/>
            <a:graphic>
              <a:graphicData uri="http://schemas.openxmlformats.org/drawingml/2006/picture">
                <pic:pic>
                  <pic:nvPicPr>
                    <pic:cNvPr descr="img/dcf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Discounted cash-flow valuation with an editable assumption set and a</w:t>
      </w:r>
      <w:r>
        <w:t xml:space="preserve"> </w:t>
      </w:r>
      <w:r>
        <w:t xml:space="preserve">sensitivity grid.</w:t>
      </w:r>
    </w:p>
    <w:p>
      <w:pPr>
        <w:pStyle w:val="BodyText"/>
      </w:pPr>
      <w:r>
        <w:rPr>
          <w:i/>
          <w:iCs/>
        </w:rPr>
        <w:t xml:space="preserve">Figure 10. DCF valuation — intrinsic value with a WACC × terminal-growth</w:t>
      </w:r>
      <w:r>
        <w:rPr>
          <w:i/>
          <w:iCs/>
        </w:rPr>
        <w:t xml:space="preserve"> </w:t>
      </w:r>
      <w:r>
        <w:rPr>
          <w:i/>
          <w:iCs/>
        </w:rPr>
        <w:t xml:space="preserve">sensitivity table.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time-value-of-money</w:t>
      </w:r>
      <w:r>
        <w:t xml:space="preserve"> </w:t>
      </w:r>
      <w:r>
        <w:t xml:space="preserve">calculator (</w:t>
      </w:r>
      <w:r>
        <w:rPr>
          <w:rStyle w:val="VerbatimChar"/>
        </w:rPr>
        <w:t xml:space="preserve">bot/tvm.js</w:t>
      </w:r>
      <w:r>
        <w:t xml:space="preserve">) implements present/future</w:t>
      </w:r>
      <w:r>
        <w:t xml:space="preserve"> </w:t>
      </w:r>
      <w:r>
        <w:t xml:space="preserve">value with compounding frequency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FV</m:t>
        </m:r>
        <m:r>
          <m:rPr>
            <m:sty m:val="p"/>
          </m:rPr>
          <m:t>=</m:t>
        </m:r>
        <m:r>
          <m:rPr>
            <m:nor/>
            <m:sty m:val="p"/>
          </m:rPr>
          <m:t>PV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/</m:t>
        </m:r>
        <m:r>
          <m:t>m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t>m</m:t>
            </m:r>
          </m:sup>
        </m:sSup>
      </m:oMath>
      <w:r>
        <w:t xml:space="preserve">; net present value</w:t>
      </w:r>
      <w:r>
        <w:t xml:space="preserve"> </w:t>
      </w:r>
      <m:oMath>
        <m:r>
          <m:rPr>
            <m:nor/>
            <m:sty m:val="p"/>
          </m:rPr>
          <m:t>NPV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nor/>
                    <m:sty m:val="p"/>
                  </m:rPr>
                  <m:t>CF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r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</m:sup>
        </m:sSup>
      </m:oMath>
      <w:r>
        <w:t xml:space="preserve">; internal rate of return by</w:t>
      </w:r>
      <w:r>
        <w:t xml:space="preserve"> </w:t>
      </w:r>
      <w:r>
        <w:t xml:space="preserve">Newton–Raphson with a bisection fallback; nominal/effective rate conversion; and</w:t>
      </w:r>
      <w:r>
        <w:t xml:space="preserve"> </w:t>
      </w:r>
      <w:r>
        <w:t xml:space="preserve">level annuities. Its tests use the source course’s own worked answers as the</w:t>
      </w:r>
      <w:r>
        <w:t xml:space="preserve"> </w:t>
      </w:r>
      <w:r>
        <w:t xml:space="preserve">oracle — a $1{,}000 payment discounted at 5% over 10 years is $613.9133 annually</w:t>
      </w:r>
      <w:r>
        <w:t xml:space="preserve"> </w:t>
      </w:r>
      <w:r>
        <w:t xml:space="preserve">and $607.1610 monthly.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6" w:name="the-power-commodities-desk"/>
    <w:p>
      <w:pPr>
        <w:pStyle w:val="Heading2"/>
      </w:pPr>
      <w:r>
        <w:t xml:space="preserve">13. The Power &amp; Commodities Desk</w:t>
      </w:r>
    </w:p>
    <w:p>
      <w:pPr>
        <w:pStyle w:val="FirstParagraph"/>
      </w:pPr>
      <w:r>
        <w:t xml:space="preserve">A distinctive addition, derived from a Citadel power &amp; gas primer (</w:t>
      </w:r>
      <w:r>
        <w:rPr>
          <w:i/>
          <w:iCs/>
        </w:rPr>
        <w:t xml:space="preserve">“Power 2026:</w:t>
      </w:r>
      <w:r>
        <w:rPr>
          <w:i/>
          <w:iCs/>
        </w:rPr>
        <w:t xml:space="preserve"> </w:t>
      </w:r>
      <w:r>
        <w:rPr>
          <w:i/>
          <w:iCs/>
        </w:rPr>
        <w:t xml:space="preserve">Electricity Pricing in the Age of AI”</w:t>
      </w:r>
      <w:r>
        <w:t xml:space="preserve">), is a wholesale-electricity pricing desk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charting/power.js</w:t>
      </w:r>
      <w:r>
        <w:t xml:space="preserve">). Wholesale power clears by</w:t>
      </w:r>
      <w:r>
        <w:t xml:space="preserve"> </w:t>
      </w:r>
      <w:r>
        <w:rPr>
          <w:b/>
          <w:bCs/>
        </w:rPr>
        <w:t xml:space="preserve">marginal-cost (merit-order)</w:t>
      </w:r>
      <w:r>
        <w:rPr>
          <w:b/>
          <w:bCs/>
        </w:rPr>
        <w:t xml:space="preserve"> </w:t>
      </w:r>
      <w:r>
        <w:rPr>
          <w:b/>
          <w:bCs/>
        </w:rPr>
        <w:t xml:space="preserve">pricing</w:t>
      </w:r>
      <w:r>
        <w:t xml:space="preserve">, which reduces to small, deterministic computations.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The Power Desk — a merit-order supply stack with the clearing price, the marginal unit, and the demand cut." title="" id="84" name="Picture"/>
            <a:graphic>
              <a:graphicData uri="http://schemas.openxmlformats.org/drawingml/2006/picture">
                <pic:pic>
                  <pic:nvPicPr>
                    <pic:cNvPr descr="img/power-desk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Power Desk — a merit-order supply stack with the clearing price, the</w:t>
      </w:r>
      <w:r>
        <w:t xml:space="preserve"> </w:t>
      </w:r>
      <w:r>
        <w:t xml:space="preserve">marginal unit, and the demand cut.</w:t>
      </w:r>
    </w:p>
    <w:p>
      <w:pPr>
        <w:pStyle w:val="BodyText"/>
      </w:pPr>
      <w:r>
        <w:rPr>
          <w:i/>
          <w:iCs/>
        </w:rPr>
        <w:t xml:space="preserve">Figure 11. The Power Desk — the merit-order supply stack; the dashed line is</w:t>
      </w:r>
      <w:r>
        <w:rPr>
          <w:i/>
          <w:iCs/>
        </w:rPr>
        <w:t xml:space="preserve"> </w:t>
      </w:r>
      <w:r>
        <w:rPr>
          <w:i/>
          <w:iCs/>
        </w:rPr>
        <w:t xml:space="preserve">demand, the marginal unit sets the clearing price.</w:t>
      </w:r>
    </w:p>
    <w:bookmarkStart w:id="86" w:name="Xa590992da1a21a4d23fcccdf7948c1f8b762972"/>
    <w:p>
      <w:pPr>
        <w:pStyle w:val="Heading3"/>
      </w:pPr>
      <w:r>
        <w:t xml:space="preserve">13.1 Merit-order dispatch and marginal pricing</w:t>
      </w:r>
    </w:p>
    <w:p>
      <w:pPr>
        <w:pStyle w:val="FirstParagraph"/>
      </w:pPr>
      <w:r>
        <w:t xml:space="preserve">Generators are ranked cheapest-first and dispatched to meet demand; the last unit</w:t>
      </w:r>
      <w:r>
        <w:t xml:space="preserve"> </w:t>
      </w:r>
      <w:r>
        <w:t xml:space="preserve">needed — the</w:t>
      </w:r>
      <w:r>
        <w:t xml:space="preserve"> </w:t>
      </w:r>
      <w:r>
        <w:rPr>
          <w:b/>
          <w:bCs/>
        </w:rPr>
        <w:t xml:space="preserve">marginal unit</w:t>
      </w:r>
      <w:r>
        <w:t xml:space="preserve"> </w:t>
      </w:r>
      <w:r>
        <w:t xml:space="preserve">— sets a single uniform clearing price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dispatched unit is paid. A cheaper unit therefore earns</w:t>
      </w:r>
      <w:r>
        <w:t xml:space="preserve"> </w:t>
      </w:r>
      <w:r>
        <w:rPr>
          <w:b/>
          <w:bCs/>
        </w:rPr>
        <w:t xml:space="preserve">inframarginal rent</w:t>
      </w:r>
      <w:r>
        <w:t xml:space="preserve"> </w:t>
      </w:r>
      <w:r>
        <w:t xml:space="preserve">equal to (clearing price − its own cost) × MW, while the marginal unit earns zero.</w:t>
      </w:r>
      <w:r>
        <w:t xml:space="preserve"> </w:t>
      </w:r>
      <w:r>
        <w:t xml:space="preserve">The marginal cost of a thermal unit is</w:t>
      </w:r>
      <w:r>
        <w:t xml:space="preserve"> </w:t>
      </w:r>
      <m:oMath>
        <m:r>
          <m:rPr>
            <m:nor/>
            <m:sty m:val="p"/>
          </m:rPr>
          <m:t>MC</m:t>
        </m:r>
        <m:r>
          <m:rPr>
            <m:sty m:val="p"/>
          </m:rPr>
          <m:t>=</m:t>
        </m:r>
        <m:r>
          <m:rPr>
            <m:nor/>
            <m:sty m:val="p"/>
          </m:rPr>
          <m:t>HeatRate</m:t>
        </m:r>
        <m:r>
          <m:rPr>
            <m:sty m:val="p"/>
          </m:rPr>
          <m:t>×</m:t>
        </m:r>
        <m:r>
          <m:rPr>
            <m:nor/>
            <m:sty m:val="p"/>
          </m:rPr>
          <m:t>FuelPrice</m:t>
        </m:r>
        <m:r>
          <m:rPr>
            <m:sty m:val="p"/>
          </m:rPr>
          <m:t>+</m:t>
        </m:r>
        <m:r>
          <m:rPr>
            <m:nor/>
            <m:sty m:val="p"/>
          </m:rPr>
          <m:t>VOM</m:t>
        </m:r>
        <m:r>
          <m:rPr>
            <m:sty m:val="p"/>
          </m:rPr>
          <m:t>+</m:t>
        </m:r>
        <m:r>
          <m:rPr>
            <m:nor/>
            <m:sty m:val="p"/>
          </m:rPr>
          <m:t>Carbon</m:t>
        </m:r>
      </m:oMath>
      <w:r>
        <w:t xml:space="preserve">,</w:t>
      </w:r>
      <w:r>
        <w:t xml:space="preserve"> </w:t>
      </w:r>
      <w:r>
        <w:t xml:space="preserve">so a change in the gas price re-orders the stack (fuel switching). The tests</w:t>
      </w:r>
      <w:r>
        <w:t xml:space="preserve"> </w:t>
      </w:r>
      <w:r>
        <w:t xml:space="preserve">assert cheapest-first dispatch, that pushing demand past a cheap unit raises the</w:t>
      </w:r>
      <w:r>
        <w:t xml:space="preserve"> </w:t>
      </w:r>
      <w:r>
        <w:t xml:space="preserve">price to the next unit, and that production cost sums own-cost (not the clearing</w:t>
      </w:r>
      <w:r>
        <w:t xml:space="preserve"> </w:t>
      </w:r>
      <w:r>
        <w:t xml:space="preserve">price).</w:t>
      </w:r>
    </w:p>
    <w:bookmarkEnd w:id="86"/>
    <w:bookmarkStart w:id="90" w:name="two-node-locational-marginal-pricing"/>
    <w:p>
      <w:pPr>
        <w:pStyle w:val="Heading3"/>
      </w:pPr>
      <w:r>
        <w:t xml:space="preserve">13.2 Two-node locational marginal pricing</w:t>
      </w:r>
    </w:p>
    <w:p>
      <w:pPr>
        <w:pStyle w:val="FirstParagraph"/>
      </w:pPr>
      <w:r>
        <w:t xml:space="preserve">With a transmission line of finite capacity between two buses, the cheaper node</w:t>
      </w:r>
      <w:r>
        <w:t xml:space="preserve"> </w:t>
      </w:r>
      <w:r>
        <w:t xml:space="preserve">exports its spare capacity up to the line limit. While the line has slack, one</w:t>
      </w:r>
      <w:r>
        <w:t xml:space="preserve"> </w:t>
      </w:r>
      <w:r>
        <w:t xml:space="preserve">price clears both nodes; the moment it</w:t>
      </w:r>
      <w:r>
        <w:t xml:space="preserve"> </w:t>
      </w:r>
      <w:r>
        <w:rPr>
          <w:b/>
          <w:bCs/>
        </w:rPr>
        <w:t xml:space="preserve">saturates</w:t>
      </w:r>
      <w:r>
        <w:t xml:space="preserve"> </w:t>
      </w:r>
      <w:r>
        <w:t xml:space="preserve">and the dearer node must</w:t>
      </w:r>
      <w:r>
        <w:t xml:space="preserve"> </w:t>
      </w:r>
      <w:r>
        <w:t xml:space="preserve">self-supply, the prices</w:t>
      </w:r>
      <w:r>
        <w:t xml:space="preserve"> </w:t>
      </w:r>
      <w:r>
        <w:rPr>
          <w:b/>
          <w:bCs/>
        </w:rPr>
        <w:t xml:space="preserve">decouple</w:t>
      </w:r>
      <w:r>
        <w:t xml:space="preserve"> </w:t>
      </w:r>
      <w:r>
        <w:t xml:space="preserve">— the exporter clears at its low cost, the</w:t>
      </w:r>
      <w:r>
        <w:t xml:space="preserve"> </w:t>
      </w:r>
      <w:r>
        <w:t xml:space="preserve">importer at its high cost. That gap is the</w:t>
      </w:r>
      <w:r>
        <w:t xml:space="preserve"> </w:t>
      </w:r>
      <w:r>
        <w:rPr>
          <w:b/>
          <w:bCs/>
        </w:rPr>
        <w:t xml:space="preserve">congestion basis</w:t>
      </w:r>
      <w:r>
        <w:t xml:space="preserve">, the payoff of a</w:t>
      </w:r>
      <w:r>
        <w:t xml:space="preserve"> </w:t>
      </w:r>
      <w:r>
        <w:t xml:space="preserve">Financial Transmission Right. The implementation reproduces the primer’s example</w:t>
      </w:r>
      <w:r>
        <w:t xml:space="preserve"> </w:t>
      </w:r>
      <w:r>
        <w:t xml:space="preserve">exactly: 10 MW over a 50 MW line clears both nodes at $10; 60 MW pins the line</w:t>
      </w:r>
      <w:r>
        <w:t xml:space="preserve"> </w:t>
      </w:r>
      <w:r>
        <w:t xml:space="preserve">and decouples to $100 / $10 (a $90 basis); widening the line re-couples the</w:t>
      </w:r>
      <w:r>
        <w:t xml:space="preserve"> </w:t>
      </w:r>
      <w:r>
        <w:t xml:space="preserve">price.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Two-node LMP under congestion: with 60 MW of demand at A and a 50 MW line, the line saturates and the prices decouple to $100 (A) and $10 (B)." title="" id="88" name="Picture"/>
            <a:graphic>
              <a:graphicData uri="http://schemas.openxmlformats.org/drawingml/2006/picture">
                <pic:pic>
                  <pic:nvPicPr>
                    <pic:cNvPr descr="img/power-congest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Two-node LMP under congestion: with 60 MW of demand at A and a 50 MW line,</w:t>
      </w:r>
      <w:r>
        <w:t xml:space="preserve"> </w:t>
      </w:r>
      <w:r>
        <w:t xml:space="preserve">the line saturates and the prices decouple to $100 (A) and $10 (B).</w:t>
      </w:r>
    </w:p>
    <w:p>
      <w:pPr>
        <w:pStyle w:val="BodyText"/>
      </w:pPr>
      <w:r>
        <w:rPr>
          <w:i/>
          <w:iCs/>
        </w:rPr>
        <w:t xml:space="preserve">Figure 13. Transmission congestion — the line is pinned at its 50 MW limit, so</w:t>
      </w:r>
      <w:r>
        <w:rPr>
          <w:i/>
          <w:iCs/>
        </w:rPr>
        <w:t xml:space="preserve"> </w:t>
      </w:r>
      <w:r>
        <w:rPr>
          <w:i/>
          <w:iCs/>
        </w:rPr>
        <w:t xml:space="preserve">node A’s price jumps to its local cost while node B stays cheap. The gap is the</w:t>
      </w:r>
      <w:r>
        <w:rPr>
          <w:i/>
          <w:iCs/>
        </w:rPr>
        <w:t xml:space="preserve"> </w:t>
      </w:r>
      <w:r>
        <w:rPr>
          <w:i/>
          <w:iCs/>
        </w:rPr>
        <w:t xml:space="preserve">congestion basis.</w:t>
      </w:r>
    </w:p>
    <w:bookmarkEnd w:id="90"/>
    <w:bookmarkStart w:id="91" w:name="Xa68f0b8c44adbb89ca090ba0585ba4bfc885919"/>
    <w:p>
      <w:pPr>
        <w:pStyle w:val="Heading3"/>
      </w:pPr>
      <w:r>
        <w:t xml:space="preserve">13.3 Spark spreads and the heat-rate call option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spark spread</w:t>
      </w:r>
      <w:r>
        <w:t xml:space="preserve"> </w:t>
      </w:r>
      <w:r>
        <w:t xml:space="preserve">is a gas plant’s gross margin,</w:t>
      </w:r>
      <w:r>
        <w:t xml:space="preserve"> </w:t>
      </w:r>
      <m:oMath>
        <m:r>
          <m:rPr>
            <m:nor/>
            <m:sty m:val="p"/>
          </m:rPr>
          <m:t>spark</m:t>
        </m:r>
        <m:r>
          <m:rPr>
            <m:sty m:val="p"/>
          </m:rPr>
          <m:t>=</m:t>
        </m:r>
        <m:r>
          <m:rPr>
            <m:nor/>
            <m:sty m:val="p"/>
          </m:rPr>
          <m:t>Power</m:t>
        </m:r>
        <m:r>
          <m:rPr>
            <m:sty m:val="p"/>
          </m:rPr>
          <m:t>−</m:t>
        </m:r>
        <m:r>
          <m:rPr>
            <m:nor/>
            <m:sty m:val="p"/>
          </m:rPr>
          <m:t>HeatRate</m:t>
        </m:r>
        <m:r>
          <m:rPr>
            <m:sty m:val="p"/>
          </m:rPr>
          <m:t>×</m:t>
        </m:r>
        <m:r>
          <m:rPr>
            <m:nor/>
            <m:sty m:val="p"/>
          </m:rPr>
          <m:t>Gas</m:t>
        </m:r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dark</w:t>
      </w:r>
      <w:r>
        <w:rPr>
          <w:b/>
          <w:bCs/>
        </w:rP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is the coal analogue), and the</w:t>
      </w:r>
      <w:r>
        <w:t xml:space="preserve"> </w:t>
      </w:r>
      <w:r>
        <w:rPr>
          <w:b/>
          <w:bCs/>
        </w:rPr>
        <w:t xml:space="preserve">effective (break-even) heat rate</w:t>
      </w:r>
      <w:r>
        <w:t xml:space="preserve"> </w:t>
      </w:r>
      <m:oMath>
        <m:sSup>
          <m:e>
            <m:r>
              <m:rPr>
                <m:nor/>
                <m:sty m:val="p"/>
              </m:rPr>
              <m:t>HR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Power</m:t>
        </m:r>
        <m:r>
          <m:rPr>
            <m:sty m:val="p"/>
          </m:rPr>
          <m:t>/</m:t>
        </m:r>
        <m:r>
          <m:rPr>
            <m:nor/>
            <m:sty m:val="p"/>
          </m:rPr>
          <m:t>Gas</m:t>
        </m:r>
      </m:oMath>
      <w:r>
        <w:t xml:space="preserve"> </w:t>
      </w:r>
      <w:r>
        <w:t xml:space="preserve">is the efficiency at which a unit</w:t>
      </w:r>
      <w:r>
        <w:t xml:space="preserve"> </w:t>
      </w:r>
      <w:r>
        <w:t xml:space="preserve">makes zero margin. A</w:t>
      </w:r>
      <w:r>
        <w:t xml:space="preserve"> </w:t>
      </w:r>
      <w:r>
        <w:rPr>
          <w:b/>
          <w:bCs/>
        </w:rPr>
        <w:t xml:space="preserve">heat-rate call option</w:t>
      </w:r>
      <w:r>
        <w:t xml:space="preserve"> </w:t>
      </w:r>
      <w:r>
        <w:t xml:space="preserve">monetises a plant’s optionality —</w:t>
      </w:r>
      <w:r>
        <w:t xml:space="preserve"> </w:t>
      </w:r>
      <w:r>
        <w:t xml:space="preserve">it pays the positive spark day by day. QuantBloom values it by Monte Carlo on</w:t>
      </w:r>
      <w:r>
        <w:t xml:space="preserve"> </w:t>
      </w:r>
      <w:r>
        <w:t xml:space="preserve">correlated lognormal power and gas paths with martingale drift; by convexity the</w:t>
      </w:r>
      <w:r>
        <w:t xml:space="preserve"> </w:t>
      </w:r>
      <w:r>
        <w:t xml:space="preserve">option value is at least its intrinsic value, rises with volatility, and falls as</w:t>
      </w:r>
      <w:r>
        <w:t xml:space="preserve"> </w:t>
      </w:r>
      <w:r>
        <w:t xml:space="preserve">power and gas co-move (a tighter spread). All four properties are asserted in the</w:t>
      </w:r>
      <w:r>
        <w:t xml:space="preserve"> </w:t>
      </w:r>
      <w:r>
        <w:t xml:space="preserve">test suite.</w:t>
      </w:r>
    </w:p>
    <w:bookmarkEnd w:id="91"/>
    <w:bookmarkStart w:id="95" w:name="the-duck-curve-and-scarcity-pricing"/>
    <w:p>
      <w:pPr>
        <w:pStyle w:val="Heading3"/>
      </w:pPr>
      <w:r>
        <w:t xml:space="preserve">13.4 The duck curve and scarcity pricing</w:t>
      </w:r>
    </w:p>
    <w:p>
      <w:pPr>
        <w:pStyle w:val="FirstParagraph"/>
      </w:pPr>
      <w:r>
        <w:t xml:space="preserve">Net demand (demand minus renewables) develops a midday trough and an evening</w:t>
      </w:r>
      <w:r>
        <w:t xml:space="preserve"> </w:t>
      </w:r>
      <w:r>
        <w:t xml:space="preserve">spike as solar penetration grows — the</w:t>
      </w:r>
      <w:r>
        <w:t xml:space="preserve"> </w:t>
      </w:r>
      <w:r>
        <w:rPr>
          <w:b/>
          <w:bCs/>
        </w:rPr>
        <w:t xml:space="preserve">duck curve</w:t>
      </w:r>
      <w:r>
        <w:t xml:space="preserve"> </w:t>
      </w:r>
      <w:r>
        <w:t xml:space="preserve">— which forces less</w:t>
      </w:r>
      <w:r>
        <w:t xml:space="preserve"> </w:t>
      </w:r>
      <w:r>
        <w:t xml:space="preserve">efficient units on in the evening and steepens the intraday price shape.</w:t>
      </w:r>
      <w:r>
        <w:t xml:space="preserve"> </w:t>
      </w:r>
      <w:r>
        <w:t xml:space="preserve">Energy-only markets add a</w:t>
      </w:r>
      <w:r>
        <w:t xml:space="preserve"> </w:t>
      </w:r>
      <w:r>
        <w:rPr>
          <w:b/>
          <w:bCs/>
        </w:rPr>
        <w:t xml:space="preserve">scarcity adder</w:t>
      </w:r>
      <w:r>
        <w:t xml:space="preserve"> </w:t>
      </w:r>
      <w:r>
        <w:t xml:space="preserve">of VOLL × P(lost load) on top of the</w:t>
      </w:r>
      <w:r>
        <w:t xml:space="preserve"> </w:t>
      </w:r>
      <w:r>
        <w:t xml:space="preserve">marginal energy price when supply runs short. Both are provided as interactive,</w:t>
      </w:r>
      <w:r>
        <w:t xml:space="preserve"> </w:t>
      </w:r>
      <w:r>
        <w:t xml:space="preserve">clearly-labelled stylised models — QuantBloom has no live ISO/LMP feed, and says</w:t>
      </w:r>
      <w:r>
        <w:t xml:space="preserve"> </w:t>
      </w:r>
      <w:r>
        <w:t xml:space="preserve">so.</w:t>
      </w:r>
    </w:p>
    <w:p>
      <w:pPr>
        <w:pStyle w:val="CaptionedFigure"/>
      </w:pPr>
      <w:r>
        <w:drawing>
          <wp:inline>
            <wp:extent cx="5334000" cy="4308230"/>
            <wp:effectExtent b="0" l="0" r="0" t="0"/>
            <wp:docPr descr="The duck curve — demand, renewables and net demand over 24 hours, with the resulting evening price spike, on/off-peak strips and a scarcity-adder calculator." title="" id="93" name="Picture"/>
            <a:graphic>
              <a:graphicData uri="http://schemas.openxmlformats.org/drawingml/2006/picture">
                <pic:pic>
                  <pic:nvPicPr>
                    <pic:cNvPr descr="img/power-duck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duck curve — demand, renewables and net demand over 24 hours, with the</w:t>
      </w:r>
      <w:r>
        <w:t xml:space="preserve"> </w:t>
      </w:r>
      <w:r>
        <w:t xml:space="preserve">resulting evening price spike, on/off-peak strips and a scarcity-adder</w:t>
      </w:r>
      <w:r>
        <w:t xml:space="preserve"> </w:t>
      </w:r>
      <w:r>
        <w:t xml:space="preserve">calculator.</w:t>
      </w:r>
    </w:p>
    <w:p>
      <w:pPr>
        <w:pStyle w:val="BodyText"/>
      </w:pPr>
      <w:r>
        <w:rPr>
          <w:i/>
          <w:iCs/>
        </w:rPr>
        <w:t xml:space="preserve">Figure 14. The duck curve — as solar (green) grows, net demand (blue) develops a</w:t>
      </w:r>
      <w:r>
        <w:rPr>
          <w:i/>
          <w:iCs/>
        </w:rPr>
        <w:t xml:space="preserve"> </w:t>
      </w:r>
      <w:r>
        <w:rPr>
          <w:i/>
          <w:iCs/>
        </w:rPr>
        <w:t xml:space="preserve">midday belly and an evening neck, steepening the intraday price shape.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user-experience-and-workflow"/>
    <w:p>
      <w:pPr>
        <w:pStyle w:val="Heading2"/>
      </w:pPr>
      <w:r>
        <w:t xml:space="preserve">14. User Experience and Workflow</w:t>
      </w:r>
    </w:p>
    <w:p>
      <w:pPr>
        <w:pStyle w:val="FirstParagraph"/>
      </w:pPr>
      <w:r>
        <w:t xml:space="preserve">Two Bloomberg-signature interactions make the 37-panel terminal navigable: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Command palette (</w:t>
      </w:r>
      <w:r>
        <w:rPr>
          <w:rStyle w:val="VerbatimChar"/>
          <w:b/>
          <w:bCs/>
        </w:rPr>
        <w:t xml:space="preserve">Ctrl+K</w:t>
      </w:r>
      <w:r>
        <w:rPr>
          <w:b/>
          <w:bCs/>
        </w:rP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TICKER &lt;GO&gt;</w:t>
      </w:r>
      <w:r>
        <w:t xml:space="preserve"> </w:t>
      </w:r>
      <w:r>
        <w:t xml:space="preserve">pattern: one box in which a</w:t>
      </w:r>
      <w:r>
        <w:t xml:space="preserve"> </w:t>
      </w:r>
      <w:r>
        <w:t xml:space="preserve">ticker sets the active symbol across every panel, or a panel name jumps to it</w:t>
      </w:r>
      <w:r>
        <w:t xml:space="preserve"> </w:t>
      </w:r>
      <w:r>
        <w:t xml:space="preserve">with a highlight flash. The parsing and ranking (</w:t>
      </w:r>
      <w:r>
        <w:rPr>
          <w:rStyle w:val="VerbatimChar"/>
        </w:rPr>
        <w:t xml:space="preserve">src/lib/command.js</w:t>
      </w:r>
      <w:r>
        <w:t xml:space="preserve">) are pure</w:t>
      </w:r>
      <w:r>
        <w:t xml:space="preserve"> </w:t>
      </w:r>
      <w:r>
        <w:t xml:space="preserve">and tested — a short alpha token is treated as a ticker; an exact panel-title</w:t>
      </w:r>
      <w:r>
        <w:t xml:space="preserve"> </w:t>
      </w:r>
      <w:r>
        <w:t xml:space="preserve">match outranks the symbol command.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Panel pop-out (</w:t>
      </w:r>
      <w:r>
        <w:rPr>
          <w:rStyle w:val="VerbatimChar"/>
          <w:b/>
          <w:bCs/>
        </w:rPr>
        <w:t xml:space="preserve">Ctrl+Shift+M</w:t>
      </w:r>
      <w:r>
        <w:rPr>
          <w:b/>
          <w:bCs/>
        </w:rPr>
        <w:t xml:space="preserve">).</w:t>
      </w:r>
      <w:r>
        <w:t xml:space="preserve"> </w:t>
      </w:r>
      <w:r>
        <w:t xml:space="preserve">Any panel opens in its own live browser</w:t>
      </w:r>
      <w:r>
        <w:t xml:space="preserve"> </w:t>
      </w:r>
      <w:r>
        <w:t xml:space="preserve">window — the terminal navigates to</w:t>
      </w:r>
      <w:r>
        <w:t xml:space="preserve"> </w:t>
      </w:r>
      <w:r>
        <w:rPr>
          <w:rStyle w:val="VerbatimChar"/>
        </w:rPr>
        <w:t xml:space="preserve">?solo=&lt;index&gt;</w:t>
      </w:r>
      <w:r>
        <w:t xml:space="preserve">, and a fresh app instance</w:t>
      </w:r>
      <w:r>
        <w:t xml:space="preserve"> </w:t>
      </w:r>
      <w:r>
        <w:t xml:space="preserve">focuses that one panel full-window — so panels can be spread across monitors,</w:t>
      </w:r>
      <w:r>
        <w:t xml:space="preserve"> </w:t>
      </w:r>
      <w:r>
        <w:t xml:space="preserve">each fully interactive with its own data. (Every figure in this paper was</w:t>
      </w:r>
      <w:r>
        <w:t xml:space="preserve"> </w:t>
      </w:r>
      <w:r>
        <w:t xml:space="preserve">captured through exactly this mechanism.)</w:t>
      </w:r>
    </w:p>
    <w:p>
      <w:pPr>
        <w:pStyle w:val="FirstParagraph"/>
      </w:pPr>
      <w:r>
        <w:t xml:space="preserve">Authentication is optional and Bloomberg-style: with Supabase configured, access</w:t>
      </w:r>
      <w:r>
        <w:t xml:space="preserve"> </w:t>
      </w:r>
      <w:r>
        <w:t xml:space="preserve">is gated behind a login screen and each signed-in user is mirrored to a Neon</w:t>
      </w:r>
      <w:r>
        <w:t xml:space="preserve"> </w:t>
      </w:r>
      <w:r>
        <w:t xml:space="preserve">Postgres table; with it unconfigured, the terminal runs open. A Help &amp; Shortcuts</w:t>
      </w:r>
      <w:r>
        <w:t xml:space="preserve"> </w:t>
      </w:r>
      <w:r>
        <w:t xml:space="preserve">panel documents the interactions on-platform.</w:t>
      </w:r>
    </w:p>
    <w:p>
      <w:pPr>
        <w:pStyle w:val="CaptionedFigure"/>
      </w:pPr>
      <w:r>
        <w:drawing>
          <wp:inline>
            <wp:extent cx="5334000" cy="4606636"/>
            <wp:effectExtent b="0" l="0" r="0" t="0"/>
            <wp:docPr descr="Technical analysis — twelve indicators with signal scoring and a consolidated verdict." title="" id="98" name="Picture"/>
            <a:graphic>
              <a:graphicData uri="http://schemas.openxmlformats.org/drawingml/2006/picture">
                <pic:pic>
                  <pic:nvPicPr>
                    <pic:cNvPr descr="img/technical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analysis — twelve indicators with signal scoring and a consolidated</w:t>
      </w:r>
      <w:r>
        <w:t xml:space="preserve"> </w:t>
      </w:r>
      <w:r>
        <w:t xml:space="preserve">verdict.</w:t>
      </w:r>
    </w:p>
    <w:p>
      <w:pPr>
        <w:pStyle w:val="BodyText"/>
      </w:pPr>
      <w:r>
        <w:rPr>
          <w:i/>
          <w:iCs/>
        </w:rPr>
        <w:t xml:space="preserve">Figure 12. The technical-analysis panel — twelve indicators, each scored, rolled</w:t>
      </w:r>
      <w:r>
        <w:rPr>
          <w:i/>
          <w:iCs/>
        </w:rPr>
        <w:t xml:space="preserve"> </w:t>
      </w:r>
      <w:r>
        <w:rPr>
          <w:i/>
          <w:iCs/>
        </w:rPr>
        <w:t xml:space="preserve">into an overall signal.</w:t>
      </w:r>
    </w:p>
    <w:p>
      <w:r>
        <w:pict>
          <v:rect style="width:0;height:1.5pt" o:hralign="center" o:hrstd="t" o:hr="t"/>
        </w:pict>
      </w:r>
    </w:p>
    <w:bookmarkEnd w:id="100"/>
    <w:bookmarkStart w:id="101" w:name="testing-and-validation"/>
    <w:p>
      <w:pPr>
        <w:pStyle w:val="Heading2"/>
      </w:pPr>
      <w:r>
        <w:t xml:space="preserve">15. Testing and Validation</w:t>
      </w:r>
    </w:p>
    <w:p>
      <w:pPr>
        <w:pStyle w:val="FirstParagraph"/>
      </w:pPr>
      <w:r>
        <w:t xml:space="preserve">At the time of writing the repository carries</w:t>
      </w:r>
      <w:r>
        <w:t xml:space="preserve"> </w:t>
      </w:r>
      <w:r>
        <w:rPr>
          <w:b/>
          <w:bCs/>
        </w:rPr>
        <w:t xml:space="preserve">332 passing unit tests</w:t>
      </w:r>
      <w:r>
        <w:t xml:space="preserve"> </w:t>
      </w:r>
      <w:r>
        <w:t xml:space="preserve">run by</w:t>
      </w:r>
      <w:r>
        <w:t xml:space="preserve"> </w:t>
      </w:r>
      <w:r>
        <w:t xml:space="preserve">the Node built-in test runner (</w:t>
      </w:r>
      <w:r>
        <w:rPr>
          <w:rStyle w:val="VerbatimChar"/>
        </w:rPr>
        <w:t xml:space="preserve">node --test</w:t>
      </w:r>
      <w:r>
        <w:t xml:space="preserve">). The philosophy is to assert</w:t>
      </w:r>
      <w:r>
        <w:t xml:space="preserve"> </w:t>
      </w:r>
      <w:r>
        <w:rPr>
          <w:i/>
          <w:iCs/>
        </w:rPr>
        <w:t xml:space="preserve">defining properties</w:t>
      </w:r>
      <w:r>
        <w:t xml:space="preserve"> </w:t>
      </w:r>
      <w:r>
        <w:t xml:space="preserve">rather than fixtures: the GBM must crack XOR;</w:t>
      </w:r>
      <w:r>
        <w:t xml:space="preserve"> </w:t>
      </w:r>
      <w:r>
        <w:rPr>
          <w:rStyle w:val="VerbatimChar"/>
        </w:rPr>
        <w:t xml:space="preserve">sliceUpTo</w:t>
      </w:r>
      <w:r>
        <w:t xml:space="preserve"> </w:t>
      </w:r>
      <w:r>
        <w:t xml:space="preserve">must never leak a future bar; the eigensolver must satisfy</w:t>
      </w:r>
      <w:r>
        <w:t xml:space="preserve"> </w:t>
      </w:r>
      <m:oMath>
        <m:r>
          <m:t>A</m:t>
        </m:r>
        <m:r>
          <m:t>v</m:t>
        </m:r>
        <m:r>
          <m:rPr>
            <m:sty m:val="p"/>
          </m:rPr>
          <m:t>=</m:t>
        </m:r>
        <m:r>
          <m:t>λ</m:t>
        </m:r>
        <m:r>
          <m:t>v</m:t>
        </m:r>
      </m:oMath>
      <w:r>
        <w:t xml:space="preserve">; the</w:t>
      </w:r>
      <w:r>
        <w:t xml:space="preserve"> </w:t>
      </w:r>
      <w:r>
        <w:t xml:space="preserve">formula sandbox must reject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/</w:t>
      </w:r>
      <w:r>
        <w:rPr>
          <w:rStyle w:val="VerbatimChar"/>
        </w:rPr>
        <w:t xml:space="preserve">window</w:t>
      </w:r>
      <w:r>
        <w:t xml:space="preserve">/</w:t>
      </w:r>
      <w:r>
        <w:rPr>
          <w:rStyle w:val="VerbatimChar"/>
        </w:rPr>
        <w:t xml:space="preserve">eval</w:t>
      </w:r>
      <w:r>
        <w:t xml:space="preserve">; the two-node model must</w:t>
      </w:r>
      <w:r>
        <w:t xml:space="preserve"> </w:t>
      </w:r>
      <w:r>
        <w:t xml:space="preserve">reproduce the primer’s $100/$10 decoupling; the TVM functions must match the</w:t>
      </w:r>
      <w:r>
        <w:t xml:space="preserve"> </w:t>
      </w:r>
      <w:r>
        <w:t xml:space="preserve">source’s worked answers to the cent; the merit-order price must jump to the next</w:t>
      </w:r>
      <w:r>
        <w:t xml:space="preserve"> </w:t>
      </w:r>
      <w:r>
        <w:t xml:space="preserve">unit when a cheap unit saturates. Where a computation is deterministic, the test</w:t>
      </w:r>
      <w:r>
        <w:t xml:space="preserve"> </w:t>
      </w:r>
      <w:r>
        <w:t xml:space="preserve">pins the exact number; where it is stochastic, a fixed seed makes it</w:t>
      </w:r>
      <w:r>
        <w:t xml:space="preserve"> </w:t>
      </w:r>
      <w:r>
        <w:t xml:space="preserve">reproducible. Numerically load-bearing changes are verified in the browser (the</w:t>
      </w:r>
      <w:r>
        <w:t xml:space="preserve"> </w:t>
      </w:r>
      <w:r>
        <w:t xml:space="preserve">production bundle, served by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) before they are committed.</w:t>
      </w:r>
    </w:p>
    <w:p>
      <w:r>
        <w:pict>
          <v:rect style="width:0;height:1.5pt" o:hralign="center" o:hrstd="t" o:hr="t"/>
        </w:pict>
      </w:r>
    </w:p>
    <w:bookmarkEnd w:id="101"/>
    <w:bookmarkStart w:id="102" w:name="honest-limitations"/>
    <w:p>
      <w:pPr>
        <w:pStyle w:val="Heading2"/>
      </w:pPr>
      <w:r>
        <w:t xml:space="preserve">16. Honest Limitations</w:t>
      </w:r>
    </w:p>
    <w:p>
      <w:pPr>
        <w:pStyle w:val="FirstParagraph"/>
      </w:pPr>
      <w:r>
        <w:t xml:space="preserve">QuantBloom is built to tell the truth, and the most important truth is about its</w:t>
      </w:r>
      <w:r>
        <w:t xml:space="preserve"> </w:t>
      </w:r>
      <w:r>
        <w:t xml:space="preserve">own models: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models do not beat buy-and-hold.</w:t>
      </w:r>
      <w:r>
        <w:t xml:space="preserve"> </w:t>
      </w:r>
      <w:r>
        <w:t xml:space="preserve">The best daily-bar model reaches a</w:t>
      </w:r>
      <w:r>
        <w:t xml:space="preserve"> </w:t>
      </w:r>
      <w:r>
        <w:t xml:space="preserve">test AUC of roughly 0.59 — genuine but small discrimination — and none clears</w:t>
      </w:r>
      <w:r>
        <w:t xml:space="preserve"> </w:t>
      </w:r>
      <w:r>
        <w:t xml:space="preserve">the publish gate. Long-only market-timing of a bull market with a strategy that</w:t>
      </w:r>
      <w:r>
        <w:t xml:space="preserve"> </w:t>
      </w:r>
      <w:r>
        <w:t xml:space="preserve">is often in cash cannot beat simply holding the index. The ensemble improves</w:t>
      </w:r>
      <w:r>
        <w:t xml:space="preserve"> </w:t>
      </w:r>
      <w:r>
        <w:t xml:space="preserve">robustness, not edge; cross-asset (SPY-relative) features help a high-beta name</w:t>
      </w:r>
      <w:r>
        <w:t xml:space="preserve"> </w:t>
      </w:r>
      <w:r>
        <w:t xml:space="preserve">like NVDA (AUC</w:t>
      </w:r>
      <w:r>
        <w:t xml:space="preserve"> </w:t>
      </w:r>
      <m:oMath>
        <m:r>
          <m:t>0.52</m:t>
        </m:r>
        <m:r>
          <m:rPr>
            <m:sty m:val="p"/>
          </m:rPr>
          <m:t>→</m:t>
        </m:r>
        <m:r>
          <m:t>0.56</m:t>
        </m:r>
      </m:oMath>
      <w:r>
        <w:t xml:space="preserve">) but are noise for others. This is the honest</w:t>
      </w:r>
      <w:r>
        <w:t xml:space="preserve"> </w:t>
      </w:r>
      <w:r>
        <w:t xml:space="preserve">reality of daily-bar technical analysis on liquid names, and the publish gate</w:t>
      </w:r>
      <w:r>
        <w:t xml:space="preserve"> </w:t>
      </w:r>
      <w:r>
        <w:t xml:space="preserve">is designed to report it rather than hide it.</w:t>
      </w:r>
      <w:r>
        <w:t xml:space="preserve"> </w:t>
      </w:r>
      <w:r>
        <w:rPr>
          <w:b/>
          <w:bCs/>
        </w:rPr>
        <w:t xml:space="preserve">We did not weaken the gate to</w:t>
      </w:r>
      <w:r>
        <w:rPr>
          <w:b/>
          <w:bCs/>
        </w:rPr>
        <w:t xml:space="preserve"> </w:t>
      </w:r>
      <w:r>
        <w:rPr>
          <w:b/>
          <w:bCs/>
        </w:rPr>
        <w:t xml:space="preserve">manufacture a pass.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live LMP or Level-2 feed.</w:t>
      </w:r>
      <w:r>
        <w:t xml:space="preserve"> </w:t>
      </w:r>
      <w:r>
        <w:t xml:space="preserve">The power desk, VaR, DCF, and TVM panels are</w:t>
      </w:r>
      <w:r>
        <w:t xml:space="preserve"> </w:t>
      </w:r>
      <w:r>
        <w:rPr>
          <w:i/>
          <w:iCs/>
        </w:rPr>
        <w:t xml:space="preserve">calculators and stylised models</w:t>
      </w:r>
      <w:r>
        <w:t xml:space="preserve">, not live grid or order-book data. They are</w:t>
      </w:r>
      <w:r>
        <w:t xml:space="preserve"> </w:t>
      </w:r>
      <w:r>
        <w:t xml:space="preserve">labelled as such throughout.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Daily bars.</w:t>
      </w:r>
      <w:r>
        <w:t xml:space="preserve"> </w:t>
      </w:r>
      <w:r>
        <w:t xml:space="preserve">The signal pipeline runs on daily OHLCV. The most credible path</w:t>
      </w:r>
      <w:r>
        <w:t xml:space="preserve"> </w:t>
      </w:r>
      <w:r>
        <w:t xml:space="preserve">to genuine edge — per the source materials — is finer granularity (intraday</w:t>
      </w:r>
      <w:r>
        <w:t xml:space="preserve"> </w:t>
      </w:r>
      <w:r>
        <w:t xml:space="preserve">bars), alternative data, or a different objective (confidence-weighted sizing</w:t>
      </w:r>
      <w:r>
        <w:t xml:space="preserve"> </w:t>
      </w:r>
      <w:r>
        <w:t xml:space="preserve">rather than binary direction), not more model families on the same 19 features.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Paper trading only.</w:t>
      </w:r>
      <w:r>
        <w:t xml:space="preserve"> </w:t>
      </w:r>
      <w:r>
        <w:t xml:space="preserve">The bot targets an Alpaca paper endpoint by default;</w:t>
      </w:r>
      <w:r>
        <w:t xml:space="preserve"> </w:t>
      </w:r>
      <w:r>
        <w:rPr>
          <w:rStyle w:val="VerbatimChar"/>
        </w:rPr>
        <w:t xml:space="preserve">isPaperEndpoint()</w:t>
      </w:r>
      <w:r>
        <w:t xml:space="preserve"> </w:t>
      </w:r>
      <w:r>
        <w:t xml:space="preserve">asserts it. Nothing here is investment advice.</w:t>
      </w:r>
    </w:p>
    <w:p>
      <w:r>
        <w:pict>
          <v:rect style="width:0;height:1.5pt" o:hralign="center" o:hrstd="t" o:hr="t"/>
        </w:pict>
      </w:r>
    </w:p>
    <w:bookmarkEnd w:id="102"/>
    <w:bookmarkStart w:id="132" w:name="conclusion-and-future-work"/>
    <w:p>
      <w:pPr>
        <w:pStyle w:val="Heading2"/>
      </w:pPr>
      <w:r>
        <w:t xml:space="preserve">17. Conclusion and Future Work</w:t>
      </w:r>
    </w:p>
    <w:p>
      <w:pPr>
        <w:pStyle w:val="FirstParagraph"/>
      </w:pPr>
      <w:r>
        <w:t xml:space="preserve">QuantBloom Terminal demonstrates that a rigorous, honest quantitative research and</w:t>
      </w:r>
      <w:r>
        <w:t xml:space="preserve"> </w:t>
      </w:r>
      <w:r>
        <w:t xml:space="preserve">trading environment can be built entirely in the browser, with every</w:t>
      </w:r>
      <w:r>
        <w:t xml:space="preserve"> </w:t>
      </w:r>
      <w:r>
        <w:t xml:space="preserve">load-bearing number backed by a tested module. Its contributions are less any</w:t>
      </w:r>
      <w:r>
        <w:t xml:space="preserve"> </w:t>
      </w:r>
      <w:r>
        <w:t xml:space="preserve">single model than the</w:t>
      </w:r>
      <w:r>
        <w:t xml:space="preserve"> </w:t>
      </w:r>
      <w:r>
        <w:rPr>
          <w:i/>
          <w:iCs/>
        </w:rPr>
        <w:t xml:space="preserve">discipline</w:t>
      </w:r>
      <w:r>
        <w:t xml:space="preserve"> </w:t>
      </w:r>
      <w:r>
        <w:t xml:space="preserve">around them: point-in-time features with</w:t>
      </w:r>
      <w:r>
        <w:t xml:space="preserve"> </w:t>
      </w:r>
      <w:r>
        <w:t xml:space="preserve">enforced train/live parity, a backtester that structurally forbids look-ahead, and</w:t>
      </w:r>
      <w:r>
        <w:t xml:space="preserve"> </w:t>
      </w:r>
      <w:r>
        <w:t xml:space="preserve">a publish gate that corrects for multiple testing and refuses to endorse a model</w:t>
      </w:r>
      <w:r>
        <w:t xml:space="preserve"> </w:t>
      </w:r>
      <w:r>
        <w:t xml:space="preserve">that cannot beat buy-and-hold out of sample.</w:t>
      </w:r>
    </w:p>
    <w:p>
      <w:pPr>
        <w:pStyle w:val="BodyText"/>
      </w:pPr>
      <w:r>
        <w:t xml:space="preserve">Natural next steps follow directly from Section 16 and the roadmap: intraday-bar</w:t>
      </w:r>
      <w:r>
        <w:t xml:space="preserve"> </w:t>
      </w:r>
      <w:r>
        <w:t xml:space="preserve">research; a cross-asset monitor board and an options volatility surface to round</w:t>
      </w:r>
      <w:r>
        <w:t xml:space="preserve"> </w:t>
      </w:r>
      <w:r>
        <w:t xml:space="preserve">out Bloomberg parity; a live ISO/LMP integration to turn the power desk’s</w:t>
      </w:r>
      <w:r>
        <w:t xml:space="preserve"> </w:t>
      </w:r>
      <w:r>
        <w:t xml:space="preserve">calculators into a live desk; and the local Python pipeline (documented in</w:t>
      </w:r>
      <w:r>
        <w:t xml:space="preserve"> </w:t>
      </w:r>
      <w:r>
        <w:rPr>
          <w:rStyle w:val="VerbatimChar"/>
        </w:rPr>
        <w:t xml:space="preserve">MODEL_TRAINING.md</w:t>
      </w:r>
      <w:r>
        <w:t xml:space="preserve">) for the heavier model families (LSTM/CAE/SDF) that cannot run</w:t>
      </w:r>
      <w:r>
        <w:t xml:space="preserve"> </w:t>
      </w:r>
      <w:r>
        <w:t xml:space="preserve">in the Node runtime, imported back through the same artifact contract and the same</w:t>
      </w:r>
      <w:r>
        <w:t xml:space="preserve"> </w:t>
      </w:r>
      <w:r>
        <w:t xml:space="preserve">unforgiving publish gate.</w:t>
      </w:r>
    </w:p>
    <w:p>
      <w:r>
        <w:pict>
          <v:rect style="width:0;height:1.5pt" o:hralign="center" o:hrstd="t" o:hr="t"/>
        </w:pict>
      </w:r>
    </w:p>
    <w:bookmarkStart w:id="103" w:name="appendix-a-notation"/>
    <w:p>
      <w:pPr>
        <w:pStyle w:val="Heading3"/>
      </w:pPr>
      <w:r>
        <w:t xml:space="preserve">Appendix A — Notation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price / open / high / low / close at bar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period return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logistic sigmoid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standardised feature vector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,</m:t>
              </m:r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covariance matrix, mean-return vector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SR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PSR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DSR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Sharpe, Probabilistic, Deflated Sharpe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PBO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Probability of Backtest Overfitting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LMP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locational marginal price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triple-barrier up / down / horizon</w:t>
            </w:r>
          </w:p>
        </w:tc>
      </w:tr>
    </w:tbl>
    <w:bookmarkEnd w:id="103"/>
    <w:bookmarkStart w:id="104" w:name="appendix-b-module-and-test-index"/>
    <w:p>
      <w:pPr>
        <w:pStyle w:val="Heading3"/>
      </w:pPr>
      <w:r>
        <w:t xml:space="preserve">Appendix B — Module and Test Index</w:t>
      </w:r>
    </w:p>
    <w:p>
      <w:pPr>
        <w:pStyle w:val="FirstParagraph"/>
      </w:pPr>
      <w:r>
        <w:t xml:space="preserve">See the table in Section 2.2. Every listed module has a dedicated test file; the</w:t>
      </w:r>
      <w:r>
        <w:t xml:space="preserve"> </w:t>
      </w:r>
      <w:r>
        <w:t xml:space="preserve">full suite is run with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--test "test/*.test.mjs"</w:t>
      </w:r>
      <w:r>
        <w:t xml:space="preserve">).</w:t>
      </w:r>
    </w:p>
    <w:bookmarkEnd w:id="104"/>
    <w:bookmarkStart w:id="105" w:name="X9ab8224e897a440ad8a9d500aaae1623272125a"/>
    <w:p>
      <w:pPr>
        <w:pStyle w:val="Heading3"/>
      </w:pPr>
      <w:r>
        <w:t xml:space="preserve">Appendix C — A Worked Example: NVDA Through the Pipeline</w:t>
      </w:r>
    </w:p>
    <w:p>
      <w:pPr>
        <w:pStyle w:val="FirstParagraph"/>
      </w:pPr>
      <w:r>
        <w:t xml:space="preserve">To make the abstractions concrete, this appendix traces a single symbol through</w:t>
      </w:r>
      <w:r>
        <w:t xml:space="preserve"> </w:t>
      </w:r>
      <w:r>
        <w:t xml:space="preserve">the full research pipeline with the actual numbers the system produces.</w:t>
      </w:r>
    </w:p>
    <w:p>
      <w:pPr>
        <w:pStyle w:val="BodyText"/>
      </w:pPr>
      <w:r>
        <w:rPr>
          <w:b/>
          <w:bCs/>
        </w:rPr>
        <w:t xml:space="preserve">Step 1 — Data.</w:t>
      </w:r>
      <w:r>
        <w:t xml:space="preserve"> </w:t>
      </w:r>
      <w:r>
        <w:t xml:space="preserve">Five years of daily NVDA candles are pulled from Yahoo (no</w:t>
      </w:r>
      <w:r>
        <w:t xml:space="preserve"> </w:t>
      </w:r>
      <w:r>
        <w:t xml:space="preserve">key). With a 200-bar warm-up and a 10-bar label horizon, roughly 1,000 labelled</w:t>
      </w:r>
      <w:r>
        <w:t xml:space="preserve"> </w:t>
      </w:r>
      <w:r>
        <w:t xml:space="preserve">rows survive.</w:t>
      </w:r>
    </w:p>
    <w:p>
      <w:pPr>
        <w:pStyle w:val="BodyText"/>
      </w:pPr>
      <w:r>
        <w:rPr>
          <w:b/>
          <w:bCs/>
        </w:rPr>
        <w:t xml:space="preserve">Step 2 — Features.</w:t>
      </w:r>
      <w:r>
        <w:t xml:space="preserve"> </w:t>
      </w:r>
      <w:r>
        <w:t xml:space="preserve">Each surviving bar becomes a 19-dimensional point-in-time</w:t>
      </w:r>
      <w:r>
        <w:t xml:space="preserve"> </w:t>
      </w:r>
      <w:r>
        <w:t xml:space="preserve">vector (Section 5.1). Enabling the cross-asset option (Section 5.2) aligns SPY to</w:t>
      </w:r>
      <w:r>
        <w:t xml:space="preserve"> </w:t>
      </w:r>
      <w:r>
        <w:t xml:space="preserve">NVDA’s bar times and appends five market-relative features, widening the vector</w:t>
      </w:r>
      <w:r>
        <w:t xml:space="preserve"> </w:t>
      </w:r>
      <w:r>
        <w:t xml:space="preserve">to 24 and flagging the model</w:t>
      </w:r>
      <w:r>
        <w:t xml:space="preserve"> </w:t>
      </w:r>
      <w:r>
        <w:rPr>
          <w:rStyle w:val="VerbatimChar"/>
        </w:rPr>
        <w:t xml:space="preserve">usesMarket</w:t>
      </w:r>
      <w:r>
        <w:t xml:space="preserve"> </w:t>
      </w:r>
      <w:r>
        <w:t xml:space="preserve">so the live path knows to supply the</w:t>
      </w:r>
      <w:r>
        <w:t xml:space="preserve"> </w:t>
      </w:r>
      <w:r>
        <w:t xml:space="preserve">benchmark.</w:t>
      </w:r>
    </w:p>
    <w:p>
      <w:pPr>
        <w:pStyle w:val="BodyText"/>
      </w:pPr>
      <w:r>
        <w:rPr>
          <w:b/>
          <w:bCs/>
        </w:rPr>
        <w:t xml:space="preserve">Step 3 — Labelling.</w:t>
      </w:r>
      <w:r>
        <w:t xml:space="preserve"> </w:t>
      </w:r>
      <w:r>
        <w:t xml:space="preserve">Each row is labelled by the triple barrier (Section 5.3):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up,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down, 10-bar horizon. The dataset is split temporally, the most</w:t>
      </w:r>
      <w:r>
        <w:t xml:space="preserve"> </w:t>
      </w:r>
      <w:r>
        <w:t xml:space="preserve">recent 30% held out and never shuffled.</w:t>
      </w:r>
    </w:p>
    <w:p>
      <w:pPr>
        <w:pStyle w:val="BodyText"/>
      </w:pPr>
      <w:r>
        <w:rPr>
          <w:b/>
          <w:bCs/>
        </w:rPr>
        <w:t xml:space="preserve">Step 4 — Training.</w:t>
      </w:r>
      <w:r>
        <w:t xml:space="preserve"> </w:t>
      </w:r>
      <w:r>
        <w:t xml:space="preserve">A gradient-boosted model (80 trees, depth 3, learning rate</w:t>
      </w:r>
      <w:r>
        <w:t xml:space="preserve"> </w:t>
      </w:r>
      <w:r>
        <w:t xml:space="preserve">0.08, minimum leaf 15) is fit on the training split. It reports split-count</w:t>
      </w:r>
      <w:r>
        <w:t xml:space="preserve"> </w:t>
      </w:r>
      <w:r>
        <w:t xml:space="preserve">feature importance; on NVDA the top drivers are typically volume ratio, MACD</w:t>
      </w:r>
      <w:r>
        <w:t xml:space="preserve"> </w:t>
      </w:r>
      <w:r>
        <w:t xml:space="preserve">histogram, and short-horizon return.</w:t>
      </w:r>
    </w:p>
    <w:p>
      <w:pPr>
        <w:pStyle w:val="BodyText"/>
      </w:pPr>
      <w:r>
        <w:rPr>
          <w:b/>
          <w:bCs/>
        </w:rPr>
        <w:t xml:space="preserve">Step 5 — Metrics.</w:t>
      </w:r>
      <w:r>
        <w:t xml:space="preserve"> </w:t>
      </w:r>
      <w:r>
        <w:t xml:space="preserve">On the held-out window, the model reaches a</w:t>
      </w:r>
      <w:r>
        <w:t xml:space="preserve"> </w:t>
      </w:r>
      <w:r>
        <w:rPr>
          <w:b/>
          <w:bCs/>
        </w:rPr>
        <w:t xml:space="preserve">test AUC of</w:t>
      </w:r>
      <w:r>
        <w:rPr>
          <w:b/>
          <w:bCs/>
        </w:rPr>
        <w:t xml:space="preserve"> </w:t>
      </w:r>
      <w:r>
        <w:rPr>
          <w:b/>
          <w:bCs/>
        </w:rPr>
        <w:t xml:space="preserve">about 0.59</w:t>
      </w:r>
      <w:r>
        <w:t xml:space="preserve"> </w:t>
      </w:r>
      <w:r>
        <w:t xml:space="preserve">with the base features. Adding the cross-asset features lifts a</w:t>
      </w:r>
      <w:r>
        <w:t xml:space="preserve"> </w:t>
      </w:r>
      <w:r>
        <w:t xml:space="preserve">high-beta name like NVDA to</w:t>
      </w:r>
      <w:r>
        <w:t xml:space="preserve"> </w:t>
      </w:r>
      <w:r>
        <w:rPr>
          <w:b/>
          <w:bCs/>
        </w:rPr>
        <w:t xml:space="preserve">~0.56–0.62</w:t>
      </w:r>
      <w:r>
        <w:t xml:space="preserve"> </w:t>
      </w:r>
      <w:r>
        <w:t xml:space="preserve">depending on the window — genuine but</w:t>
      </w:r>
      <w:r>
        <w:t xml:space="preserve"> </w:t>
      </w:r>
      <w:r>
        <w:t xml:space="preserve">modest discrimination. The logistic baseline sits near 0.50; PCA near 0.44–0.52;</w:t>
      </w:r>
      <w:r>
        <w:t xml:space="preserve"> </w:t>
      </w:r>
      <w:r>
        <w:t xml:space="preserve">the ensemble lands between its members.</w:t>
      </w:r>
    </w:p>
    <w:p>
      <w:pPr>
        <w:pStyle w:val="BodyText"/>
      </w:pPr>
      <w:r>
        <w:rPr>
          <w:b/>
          <w:bCs/>
        </w:rPr>
        <w:t xml:space="preserve">Step 6 — Out-of-sample backtest.</w:t>
      </w:r>
      <w:r>
        <w:t xml:space="preserve"> </w:t>
      </w:r>
      <w:r>
        <w:t xml:space="preserve">The model is turned into a strategy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modelStrategy</w:t>
      </w:r>
      <w:r>
        <w:t xml:space="preserve">) and backtested over the test window with point-in-time signals,</w:t>
      </w:r>
      <w:r>
        <w:t xml:space="preserve"> </w:t>
      </w:r>
      <w:r>
        <w:t xml:space="preserve">next-bar-open fills, and full costs. The strategy is compared to buy-and-hold; its</w:t>
      </w:r>
      <w:r>
        <w:t xml:space="preserve"> </w:t>
      </w:r>
      <w:r>
        <w:t xml:space="preserve">Deflated Sharpe and trade count are computed.</w:t>
      </w:r>
    </w:p>
    <w:p>
      <w:pPr>
        <w:pStyle w:val="BodyText"/>
      </w:pPr>
      <w:r>
        <w:rPr>
          <w:b/>
          <w:bCs/>
        </w:rPr>
        <w:t xml:space="preserve">Step 7 — The gate.</w:t>
      </w:r>
      <w:r>
        <w:t xml:space="preserve"> </w:t>
      </w:r>
      <w:r>
        <w:t xml:space="preserve">The publish gate (Section 7.5) checks AUC</w:t>
      </w:r>
      <w:r>
        <w:t xml:space="preserve"> </w:t>
      </w:r>
      <m:oMath>
        <m:r>
          <m:rPr>
            <m:sty m:val="p"/>
          </m:rPr>
          <m:t>≥</m:t>
        </m:r>
        <m:r>
          <m:t>0.55</m:t>
        </m:r>
      </m:oMath>
      <w:r>
        <w:t xml:space="preserve">, OOS</w:t>
      </w:r>
      <w:r>
        <w:t xml:space="preserve"> </w:t>
      </w:r>
      <w:r>
        <w:t xml:space="preserve">Sharpe</w:t>
      </w:r>
      <w:r>
        <w:t xml:space="preserve"> </w:t>
      </w:r>
      <m:oMath>
        <m:r>
          <m:rPr>
            <m:sty m:val="p"/>
          </m:rPr>
          <m:t>≥</m:t>
        </m:r>
        <m:r>
          <m:t>0.5</m:t>
        </m:r>
      </m:oMath>
      <w:r>
        <w:t xml:space="preserve">, beat buy-and-hold, Deflated Sharpe</w:t>
      </w:r>
      <w:r>
        <w:t xml:space="preserve"> </w:t>
      </w:r>
      <m:oMath>
        <m:r>
          <m:rPr>
            <m:sty m:val="p"/>
          </m:rPr>
          <m:t>≥</m:t>
        </m:r>
        <m:r>
          <m:t>0.90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trades,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</m:oMath>
      <w:r>
        <w:t xml:space="preserve"> </w:t>
      </w:r>
      <w:r>
        <w:t xml:space="preserve">rows. On daily NVDA the model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— it does not beat buy-and-hold</w:t>
      </w:r>
      <w:r>
        <w:t xml:space="preserve"> </w:t>
      </w:r>
      <w:r>
        <w:t xml:space="preserve">over a bull run in which it is often in cash — and auto-train reports it, honestly,</w:t>
      </w:r>
      <w:r>
        <w:t xml:space="preserve"> </w:t>
      </w:r>
      <w:r>
        <w:t xml:space="preserve">as</w:t>
      </w:r>
      <w:r>
        <w:t xml:space="preserve"> </w:t>
      </w:r>
      <w:r>
        <w:t xml:space="preserve">“not worth using.”</w:t>
      </w:r>
      <w:r>
        <w:t xml:space="preserve"> </w:t>
      </w:r>
      <w:r>
        <w:t xml:space="preserve">A researcher may still</w:t>
      </w:r>
      <w:r>
        <w:t xml:space="preserve"> </w:t>
      </w:r>
      <w:r>
        <w:rPr>
          <w:i/>
          <w:iCs/>
        </w:rPr>
        <w:t xml:space="preserve">select</w:t>
      </w:r>
      <w:r>
        <w:t xml:space="preserve"> </w:t>
      </w:r>
      <w:r>
        <w:t xml:space="preserve">the model for paper testing;</w:t>
      </w:r>
      <w:r>
        <w:t xml:space="preserve"> </w:t>
      </w:r>
      <w:r>
        <w:t xml:space="preserve">it simply cannot be</w:t>
      </w:r>
      <w:r>
        <w:t xml:space="preserve"> </w:t>
      </w:r>
      <w:r>
        <w:rPr>
          <w:i/>
          <w:iCs/>
        </w:rPr>
        <w:t xml:space="preserve">published</w:t>
      </w:r>
      <w:r>
        <w:t xml:space="preserve">.</w:t>
      </w:r>
    </w:p>
    <w:p>
      <w:pPr>
        <w:pStyle w:val="BodyText"/>
      </w:pPr>
      <w:r>
        <w:t xml:space="preserve">This is the pipeline working as designed: it produced a model with real (if small)</w:t>
      </w:r>
      <w:r>
        <w:t xml:space="preserve"> </w:t>
      </w:r>
      <w:r>
        <w:t xml:space="preserve">discrimination, measured it without look-ahead, corrected for multiple testing,</w:t>
      </w:r>
      <w:r>
        <w:t xml:space="preserve"> </w:t>
      </w:r>
      <w:r>
        <w:t xml:space="preserve">and declined to endorse it. Manufacturing a</w:t>
      </w:r>
      <w:r>
        <w:t xml:space="preserve"> </w:t>
      </w:r>
      <w:r>
        <w:t xml:space="preserve">“pass”</w:t>
      </w:r>
      <w:r>
        <w:t xml:space="preserve"> </w:t>
      </w:r>
      <w:r>
        <w:t xml:space="preserve">would require weakening the</w:t>
      </w:r>
      <w:r>
        <w:t xml:space="preserve"> </w:t>
      </w:r>
      <w:r>
        <w:t xml:space="preserve">gate — which the system deliberately does not do.</w:t>
      </w:r>
    </w:p>
    <w:bookmarkEnd w:id="105"/>
    <w:bookmarkStart w:id="130" w:name="appendix-d-panel-gallery"/>
    <w:p>
      <w:pPr>
        <w:pStyle w:val="Heading3"/>
      </w:pPr>
      <w:r>
        <w:t xml:space="preserve">Appendix D — Panel Gallery</w:t>
      </w:r>
    </w:p>
    <w:p>
      <w:pPr>
        <w:pStyle w:val="FirstParagraph"/>
      </w:pPr>
      <w:r>
        <w:t xml:space="preserve">The terminal’s 37 panels span data, analytics, execution, and pricing. A</w:t>
      </w:r>
      <w:r>
        <w:t xml:space="preserve"> </w:t>
      </w:r>
      <w:r>
        <w:t xml:space="preserve">selection, each captured through the pop-out mechanism: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Portfolio" title="" id="107" name="Picture"/>
            <a:graphic>
              <a:graphicData uri="http://schemas.openxmlformats.org/drawingml/2006/picture">
                <pic:pic>
                  <pic:nvPicPr>
                    <pic:cNvPr descr="img/portfolio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15. Portfolio — positions with live P&amp;L, weights, and source tagging</w:t>
      </w:r>
      <w:r>
        <w:rPr>
          <w:i/>
          <w:iCs/>
        </w:rPr>
        <w:t xml:space="preserve"> </w:t>
      </w:r>
      <w:r>
        <w:rPr>
          <w:i/>
          <w:iCs/>
        </w:rPr>
        <w:t xml:space="preserve">(manual vs. bot).</w:t>
      </w:r>
    </w:p>
    <w:p>
      <w:pPr>
        <w:pStyle w:val="BodyText"/>
      </w:pPr>
      <w:r>
        <w:drawing>
          <wp:inline>
            <wp:extent cx="5334000" cy="4222750"/>
            <wp:effectExtent b="0" l="0" r="0" t="0"/>
            <wp:docPr descr="Attribution" title="" id="110" name="Picture"/>
            <a:graphic>
              <a:graphicData uri="http://schemas.openxmlformats.org/drawingml/2006/picture">
                <pic:pic>
                  <pic:nvPicPr>
                    <pic:cNvPr descr="img/attribution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16. Performance attribution — return contribution by position and sector</w:t>
      </w:r>
      <w:r>
        <w:rPr>
          <w:i/>
          <w:iCs/>
        </w:rPr>
        <w:t xml:space="preserve"> </w:t>
      </w:r>
      <w:r>
        <w:rPr>
          <w:i/>
          <w:iCs/>
        </w:rPr>
        <w:t xml:space="preserve">against the benchmark.</w:t>
      </w:r>
    </w:p>
    <w:p>
      <w:pPr>
        <w:pStyle w:val="BodyText"/>
      </w:pPr>
      <w:r>
        <w:drawing>
          <wp:inline>
            <wp:extent cx="5334000" cy="3897923"/>
            <wp:effectExtent b="0" l="0" r="0" t="0"/>
            <wp:docPr descr="Options chain" title="" id="113" name="Picture"/>
            <a:graphic>
              <a:graphicData uri="http://schemas.openxmlformats.org/drawingml/2006/picture">
                <pic:pic>
                  <pic:nvPicPr>
                    <pic:cNvPr descr="img/option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17. The options chain with Black-Scholes Greeks (delta, gamma, theta,</w:t>
      </w:r>
      <w:r>
        <w:rPr>
          <w:i/>
          <w:iCs/>
        </w:rPr>
        <w:t xml:space="preserve"> </w:t>
      </w:r>
      <w:r>
        <w:rPr>
          <w:i/>
          <w:iCs/>
        </w:rPr>
        <w:t xml:space="preserve">vega) and numerically-solved implied volatility.</w:t>
      </w:r>
    </w:p>
    <w:p>
      <w:pPr>
        <w:pStyle w:val="BodyText"/>
      </w:pPr>
      <w:r>
        <w:drawing>
          <wp:inline>
            <wp:extent cx="5334000" cy="4103076"/>
            <wp:effectExtent b="0" l="0" r="0" t="0"/>
            <wp:docPr descr="Stock screener" title="" id="116" name="Picture"/>
            <a:graphic>
              <a:graphicData uri="http://schemas.openxmlformats.org/drawingml/2006/picture">
                <pic:pic>
                  <pic:nvPicPr>
                    <pic:cNvPr descr="img/screener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18. The stock screener — filtering the universe on fundamental and</w:t>
      </w:r>
      <w:r>
        <w:rPr>
          <w:i/>
          <w:iCs/>
        </w:rPr>
        <w:t xml:space="preserve"> </w:t>
      </w:r>
      <w:r>
        <w:rPr>
          <w:i/>
          <w:iCs/>
        </w:rPr>
        <w:t xml:space="preserve">technical criteria.</w:t>
      </w:r>
    </w:p>
    <w:p>
      <w:pPr>
        <w:pStyle w:val="BodyText"/>
      </w:pPr>
      <w:r>
        <w:drawing>
          <wp:inline>
            <wp:extent cx="5334000" cy="4606636"/>
            <wp:effectExtent b="0" l="0" r="0" t="0"/>
            <wp:docPr descr="Sector analysis" title="" id="119" name="Picture"/>
            <a:graphic>
              <a:graphicData uri="http://schemas.openxmlformats.org/drawingml/2006/picture">
                <pic:pic>
                  <pic:nvPicPr>
                    <pic:cNvPr descr="img/sector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19. Sector analysis — a heat-tiled view of relative sector performance.</w:t>
      </w:r>
    </w:p>
    <w:p>
      <w:pPr>
        <w:pStyle w:val="BodyText"/>
      </w:pPr>
      <w:r>
        <w:drawing>
          <wp:inline>
            <wp:extent cx="5334000" cy="4121727"/>
            <wp:effectExtent b="0" l="0" r="0" t="0"/>
            <wp:docPr descr="Yield curve" title="" id="122" name="Picture"/>
            <a:graphic>
              <a:graphicData uri="http://schemas.openxmlformats.org/drawingml/2006/picture">
                <pic:pic>
                  <pic:nvPicPr>
                    <pic:cNvPr descr="img/yield-curv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20. The Treasury yield curve from FRED, with key spreads.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Stress test" title="" id="125" name="Picture"/>
            <a:graphic>
              <a:graphicData uri="http://schemas.openxmlformats.org/drawingml/2006/picture">
                <pic:pic>
                  <pic:nvPicPr>
                    <pic:cNvPr descr="img/stress-test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21. Stress testing — replaying historical crises and custom shocks</w:t>
      </w:r>
      <w:r>
        <w:rPr>
          <w:i/>
          <w:iCs/>
        </w:rPr>
        <w:t xml:space="preserve"> </w:t>
      </w:r>
      <w:r>
        <w:rPr>
          <w:i/>
          <w:iCs/>
        </w:rPr>
        <w:t xml:space="preserve">against the current book via beta-adjusted propagation.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Cross-asset compare" title="" id="128" name="Picture"/>
            <a:graphic>
              <a:graphicData uri="http://schemas.openxmlformats.org/drawingml/2006/picture">
                <pic:pic>
                  <pic:nvPicPr>
                    <pic:cNvPr descr="img/compar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22. Rebased cross-asset comparison — several instruments normalised to a</w:t>
      </w:r>
      <w:r>
        <w:rPr>
          <w:i/>
          <w:iCs/>
        </w:rPr>
        <w:t xml:space="preserve"> </w:t>
      </w:r>
      <w:r>
        <w:rPr>
          <w:i/>
          <w:iCs/>
        </w:rPr>
        <w:t xml:space="preserve">common base for relative-performance analysis.</w:t>
      </w:r>
    </w:p>
    <w:bookmarkEnd w:id="130"/>
    <w:bookmarkStart w:id="131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11"/>
        </w:numPr>
      </w:pPr>
      <w:r>
        <w:t xml:space="preserve">M. López de Prado,</w:t>
      </w:r>
      <w:r>
        <w:t xml:space="preserve"> </w:t>
      </w:r>
      <w:r>
        <w:rPr>
          <w:i/>
          <w:iCs/>
        </w:rPr>
        <w:t xml:space="preserve">Advances in Financial Machine Learning</w:t>
      </w:r>
      <w:r>
        <w:t xml:space="preserve">, Wiley, 2018</w:t>
      </w:r>
      <w:r>
        <w:t xml:space="preserve"> </w:t>
      </w:r>
      <w:r>
        <w:t xml:space="preserve">(triple-barrier labelling; the Deflated Sharpe Ratio; CSCV / PBO).</w:t>
      </w:r>
    </w:p>
    <w:p>
      <w:pPr>
        <w:pStyle w:val="Compact"/>
        <w:numPr>
          <w:ilvl w:val="0"/>
          <w:numId w:val="1011"/>
        </w:numPr>
      </w:pPr>
      <w:r>
        <w:t xml:space="preserve">D. Bailey and M. López de Prado,</w:t>
      </w:r>
      <w:r>
        <w:t xml:space="preserve"> </w:t>
      </w:r>
      <w:r>
        <w:t xml:space="preserve">“The Deflated Sharpe Ratio: Correcting for</w:t>
      </w:r>
      <w:r>
        <w:t xml:space="preserve"> </w:t>
      </w:r>
      <w:r>
        <w:t xml:space="preserve">Selection Bias, Backtest Overfitting, and Non-Normality,”</w:t>
      </w:r>
      <w:r>
        <w:t xml:space="preserve"> </w:t>
      </w:r>
      <w:r>
        <w:rPr>
          <w:i/>
          <w:iCs/>
        </w:rPr>
        <w:t xml:space="preserve">Journal of Portfolio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, 2014.</w:t>
      </w:r>
    </w:p>
    <w:p>
      <w:pPr>
        <w:pStyle w:val="Compact"/>
        <w:numPr>
          <w:ilvl w:val="0"/>
          <w:numId w:val="1011"/>
        </w:numPr>
      </w:pPr>
      <w:r>
        <w:t xml:space="preserve">J. H. Friedman,</w:t>
      </w:r>
      <w:r>
        <w:t xml:space="preserve"> </w:t>
      </w:r>
      <w:r>
        <w:t xml:space="preserve">“Greedy Function Approximation: A Gradient Boosting Machine,”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2001.</w:t>
      </w:r>
    </w:p>
    <w:p>
      <w:pPr>
        <w:pStyle w:val="Compact"/>
        <w:numPr>
          <w:ilvl w:val="0"/>
          <w:numId w:val="1011"/>
        </w:numPr>
      </w:pPr>
      <w:r>
        <w:t xml:space="preserve">H. Markowitz,</w:t>
      </w:r>
      <w:r>
        <w:t xml:space="preserve"> </w:t>
      </w:r>
      <w:r>
        <w:t xml:space="preserve">“Portfolio Selection,”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, 1952.</w:t>
      </w:r>
    </w:p>
    <w:p>
      <w:pPr>
        <w:pStyle w:val="Compact"/>
        <w:numPr>
          <w:ilvl w:val="0"/>
          <w:numId w:val="1011"/>
        </w:numPr>
      </w:pPr>
      <w:r>
        <w:t xml:space="preserve">N. Somani,</w:t>
      </w:r>
      <w:r>
        <w:t xml:space="preserve"> </w:t>
      </w:r>
      <w:r>
        <w:rPr>
          <w:i/>
          <w:iCs/>
        </w:rPr>
        <w:t xml:space="preserve">Power 2026: Electricity Pricing in the Age of AI</w:t>
      </w:r>
      <w:r>
        <w:t xml:space="preserve"> </w:t>
      </w:r>
      <w:r>
        <w:t xml:space="preserve">(merit-order</w:t>
      </w:r>
      <w:r>
        <w:t xml:space="preserve"> </w:t>
      </w:r>
      <w:r>
        <w:t xml:space="preserve">pricing, LMP and transmission congestion, spark spreads, heat-rate call</w:t>
      </w:r>
      <w:r>
        <w:t xml:space="preserve"> </w:t>
      </w:r>
      <w:r>
        <w:t xml:space="preserve">options, the duck curve, scarcity pricing).</w:t>
      </w:r>
    </w:p>
    <w:p>
      <w:pPr>
        <w:pStyle w:val="Compact"/>
        <w:numPr>
          <w:ilvl w:val="0"/>
          <w:numId w:val="1011"/>
        </w:numPr>
      </w:pPr>
      <w:r>
        <w:t xml:space="preserve">F. Black and M. Scholes,</w:t>
      </w:r>
      <w:r>
        <w:t xml:space="preserve"> </w:t>
      </w:r>
      <w:r>
        <w:t xml:space="preserve">“The Pricing of Options and Corporate Liabilities,”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, 1973.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QuantBloom Terminal is a research and education platform. Nothing in this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is investment advice, and no metric is a prediction. The trading bot</w:t>
      </w:r>
      <w:r>
        <w:rPr>
          <w:i/>
          <w:iCs/>
        </w:rPr>
        <w:t xml:space="preserve"> </w:t>
      </w:r>
      <w:r>
        <w:rPr>
          <w:i/>
          <w:iCs/>
        </w:rPr>
        <w:t xml:space="preserve">targets a paper account by default; backtested performance does not predict</w:t>
      </w:r>
      <w:r>
        <w:rPr>
          <w:i/>
          <w:iCs/>
        </w:rPr>
        <w:t xml:space="preserve"> </w:t>
      </w:r>
      <w:r>
        <w:rPr>
          <w:i/>
          <w:iCs/>
        </w:rPr>
        <w:t xml:space="preserve">future returns.</w:t>
      </w:r>
    </w:p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9" Target="media/rId109.png" /><Relationship Type="http://schemas.openxmlformats.org/officeDocument/2006/relationships/image" Id="rId51" Target="media/rId51.png" /><Relationship Type="http://schemas.openxmlformats.org/officeDocument/2006/relationships/image" Id="rId127" Target="media/rId127.png" /><Relationship Type="http://schemas.openxmlformats.org/officeDocument/2006/relationships/image" Id="rId26" Target="media/rId26.png" /><Relationship Type="http://schemas.openxmlformats.org/officeDocument/2006/relationships/image" Id="rId78" Target="media/rId78.png" /><Relationship Type="http://schemas.openxmlformats.org/officeDocument/2006/relationships/image" Id="rId74" Target="media/rId74.png" /><Relationship Type="http://schemas.openxmlformats.org/officeDocument/2006/relationships/image" Id="rId10" Target="media/rId10.png" /><Relationship Type="http://schemas.openxmlformats.org/officeDocument/2006/relationships/image" Id="rId36" Target="media/rId36.png" /><Relationship Type="http://schemas.openxmlformats.org/officeDocument/2006/relationships/image" Id="rId22" Target="media/rId22.png" /><Relationship Type="http://schemas.openxmlformats.org/officeDocument/2006/relationships/image" Id="rId66" Target="media/rId66.png" /><Relationship Type="http://schemas.openxmlformats.org/officeDocument/2006/relationships/image" Id="rId112" Target="media/rId112.png" /><Relationship Type="http://schemas.openxmlformats.org/officeDocument/2006/relationships/image" Id="rId106" Target="media/rId106.png" /><Relationship Type="http://schemas.openxmlformats.org/officeDocument/2006/relationships/image" Id="rId87" Target="media/rId87.png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97" Target="media/rId97.png" /><Relationship Type="http://schemas.openxmlformats.org/officeDocument/2006/relationships/image" Id="rId56" Target="media/rId56.png" /><Relationship Type="http://schemas.openxmlformats.org/officeDocument/2006/relationships/image" Id="rId70" Target="media/rId70.png" /><Relationship Type="http://schemas.openxmlformats.org/officeDocument/2006/relationships/image" Id="rId121" Target="media/rId1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QuantBloom Terminal</dc:title>
  <dc:creator>QuantBloom Research</dc:creator>
  <cp:keywords/>
  <dcterms:created xsi:type="dcterms:W3CDTF">2026-08-21T15:41:21Z</dcterms:created>
  <dcterms:modified xsi:type="dcterms:W3CDTF">2026-08-21T15:41:21Z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Version 1.0</vt:lpwstr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linkcolor">
    <vt:lpwstr>RoyalBlue</vt:lpwstr>
  </property>
  <property fmtid="{D5CDD505-2E9C-101B-9397-08002B2CF9AE}" pid="7" name="subtitle">
    <vt:lpwstr>A Technical Whitepaper — Machine Learning, Trading Strategies, and the Mathematics Behind Them</vt:lpwstr>
  </property>
  <property fmtid="{D5CDD505-2E9C-101B-9397-08002B2CF9AE}" pid="8" name="toc">
    <vt:lpwstr>True</vt:lpwstr>
  </property>
  <property fmtid="{D5CDD505-2E9C-101B-9397-08002B2CF9AE}" pid="9" name="toc-depth">
    <vt:lpwstr>2</vt:lpwstr>
  </property>
  <property fmtid="{D5CDD505-2E9C-101B-9397-08002B2CF9AE}" pid="10" name="urlcolor">
    <vt:lpwstr>RoyalBlue</vt:lpwstr>
  </property>
</Properties>
</file>