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="276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Построение матрицы разграничения прав доступа для прикладной программы</w:t>
      </w:r>
    </w:p>
    <w:p w:rsidR="00000000" w:rsidDel="00000000" w:rsidP="00000000" w:rsidRDefault="00000000" w:rsidRPr="00000000" w14:paraId="00000003">
      <w:pPr>
        <w:spacing w:after="200" w:line="276" w:lineRule="auto"/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48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матрицу разграничения прав доступа для прикладной программы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-632459</wp:posOffset>
            </wp:positionH>
            <wp:positionV relativeFrom="paragraph">
              <wp:posOffset>11430</wp:posOffset>
            </wp:positionV>
            <wp:extent cx="5045075" cy="38100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810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Дискретное управление доступом представляет собой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 Данный вид организуется на базе методов разграничения по спискам или с помощью матрицы. Списки позволяют установить права с точностью до пользователя. Здесь нетрудно добавить права или явным образом запретить доступ. Списки используются в подсистемах безопасности операционных систем и систем управления базами данных. Использование матрицы установления полномочий подразумевает применение матрицы доступа (таблицы полномочий). В указанной матрице строками являются идентификаторы субъектов, имеющих доступ в ИС, а столбцами — объекты (ресурсы) ИС. Каждый элемент матрицы может содержать имя и размер предоставляемого ресурса, право доступа (чтение, запись и др.), ссылку на другую информационную структуру, уточняющую права доступа, ссылку на программу, управляющую правами доступа и др. Данный метод предоставляет более унифицированный и удобный подход, так как вся информация о полномочиях хранится в виде единой таблицы, а не в виде разнотипных списков. Недостатками матрицы являются ее возможная громоздкость и неоптимальность (большинство клеток — пустые). Фрагмент матрицы установления полномочий показан в табл. 1.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424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проект.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пользователей Гость, Пользователь, Администратор, выбрать объекты системы, к которым они могут иметь доступ.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пользователей Гость, Пользователь, Администратор выбрать действия, которые могут быть выполнены в системе.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Оформить результат в виде 1. Краткого описания системы, ее возможностей; 2. Матрицы доступа.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var(--ricos-font-family,unset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