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C9C270">
      <w:pPr>
        <w:keepNext/>
        <w:keepLines/>
        <w:spacing w:before="340" w:after="330" w:line="576" w:lineRule="auto"/>
        <w:ind w:firstLine="880" w:firstLineChars="200"/>
        <w:rPr>
          <w:rFonts w:ascii="等线" w:hAnsi="等线" w:eastAsia="等线" w:cs="Times New Roman"/>
          <w:b/>
          <w:kern w:val="44"/>
          <w:sz w:val="52"/>
          <w:szCs w:val="52"/>
          <w14:ligatures w14:val="none"/>
        </w:rPr>
      </w:pPr>
      <w:r>
        <w:rPr>
          <w:rFonts w:ascii="等线" w:hAnsi="等线" w:eastAsia="等线" w:cs="Times New Roman"/>
          <w:b/>
          <w:kern w:val="44"/>
          <w:sz w:val="44"/>
          <w:szCs w:val="24"/>
          <w14:ligatures w14:val="none"/>
        </w:rPr>
        <w:drawing>
          <wp:inline distT="0" distB="0" distL="0" distR="0">
            <wp:extent cx="759460" cy="751840"/>
            <wp:effectExtent l="0" t="0" r="2540" b="0"/>
            <wp:docPr id="2" name="图片 2" descr="校徽完成方案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徽完成方案2"/>
                    <pic:cNvPicPr>
                      <a:picLocks noChangeAspect="1" noChangeArrowheads="1"/>
                    </pic:cNvPicPr>
                  </pic:nvPicPr>
                  <pic:blipFill>
                    <a:blip r:embed="rId4" cstate="print">
                      <a:extLst>
                        <a:ext uri="{28A0092B-C50C-407E-A947-70E740481C1C}">
                          <a14:useLocalDpi xmlns:a14="http://schemas.microsoft.com/office/drawing/2010/main" val="0"/>
                        </a:ext>
                      </a:extLst>
                    </a:blip>
                    <a:srcRect l="12859" t="15553" r="6723"/>
                    <a:stretch>
                      <a:fillRect/>
                    </a:stretch>
                  </pic:blipFill>
                  <pic:spPr>
                    <a:xfrm>
                      <a:off x="0" y="0"/>
                      <a:ext cx="759460" cy="751840"/>
                    </a:xfrm>
                    <a:prstGeom prst="rect">
                      <a:avLst/>
                    </a:prstGeom>
                    <a:noFill/>
                    <a:ln>
                      <a:noFill/>
                    </a:ln>
                  </pic:spPr>
                </pic:pic>
              </a:graphicData>
            </a:graphic>
          </wp:inline>
        </w:drawing>
      </w:r>
      <w:bookmarkStart w:id="0" w:name="_Hlk36755353"/>
      <w:r>
        <w:rPr>
          <w:rFonts w:ascii="等线" w:hAnsi="等线" w:eastAsia="等线" w:cs="Times New Roman"/>
          <w:b/>
          <w:kern w:val="44"/>
          <w:sz w:val="44"/>
          <w:szCs w:val="24"/>
          <w14:ligatures w14:val="none"/>
        </w:rPr>
        <w:drawing>
          <wp:inline distT="0" distB="0" distL="0" distR="0">
            <wp:extent cx="3378835" cy="1054100"/>
            <wp:effectExtent l="0" t="0" r="0" b="0"/>
            <wp:docPr id="1" name="图片 1" descr="南京林业大学标准矢量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京林业大学标准矢量文字"/>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378835" cy="1054100"/>
                    </a:xfrm>
                    <a:prstGeom prst="rect">
                      <a:avLst/>
                    </a:prstGeom>
                    <a:noFill/>
                    <a:ln>
                      <a:noFill/>
                    </a:ln>
                  </pic:spPr>
                </pic:pic>
              </a:graphicData>
            </a:graphic>
          </wp:inline>
        </w:drawing>
      </w:r>
      <w:bookmarkEnd w:id="0"/>
    </w:p>
    <w:p w14:paraId="3C0D5747">
      <w:pPr>
        <w:spacing w:line="360" w:lineRule="auto"/>
        <w:jc w:val="center"/>
        <w:rPr>
          <w:rFonts w:hint="default" w:ascii="华文中宋" w:hAnsi="华文中宋" w:eastAsia="华文中宋" w:cs="Times New Roman"/>
          <w:sz w:val="52"/>
          <w:szCs w:val="52"/>
          <w:lang w:val="en-US" w:eastAsia="zh-CN"/>
          <w14:ligatures w14:val="none"/>
        </w:rPr>
      </w:pPr>
      <w:r>
        <w:rPr>
          <w:rFonts w:hint="eastAsia" w:ascii="华文中宋" w:hAnsi="华文中宋" w:eastAsia="华文中宋" w:cs="Times New Roman"/>
          <w:sz w:val="52"/>
          <w:szCs w:val="52"/>
          <w:lang w:val="en-US" w:eastAsia="zh-CN"/>
          <w14:ligatures w14:val="none"/>
        </w:rPr>
        <w:t>音乐鉴赏课程期末论文</w:t>
      </w:r>
    </w:p>
    <w:tbl>
      <w:tblPr>
        <w:tblStyle w:val="8"/>
        <w:tblpPr w:leftFromText="180" w:rightFromText="180" w:vertAnchor="text" w:horzAnchor="margin" w:tblpXSpec="right" w:tblpY="688"/>
        <w:tblW w:w="4575" w:type="pct"/>
        <w:tblInd w:w="0" w:type="dxa"/>
        <w:tblLayout w:type="autofit"/>
        <w:tblCellMar>
          <w:top w:w="0" w:type="dxa"/>
          <w:left w:w="108" w:type="dxa"/>
          <w:bottom w:w="0" w:type="dxa"/>
          <w:right w:w="108" w:type="dxa"/>
        </w:tblCellMar>
      </w:tblPr>
      <w:tblGrid>
        <w:gridCol w:w="2065"/>
        <w:gridCol w:w="5490"/>
        <w:gridCol w:w="243"/>
      </w:tblGrid>
      <w:tr w14:paraId="0B966889">
        <w:tblPrEx>
          <w:tblCellMar>
            <w:top w:w="0" w:type="dxa"/>
            <w:left w:w="108" w:type="dxa"/>
            <w:bottom w:w="0" w:type="dxa"/>
            <w:right w:w="108" w:type="dxa"/>
          </w:tblCellMar>
        </w:tblPrEx>
        <w:trPr>
          <w:trHeight w:val="630" w:hRule="atLeast"/>
        </w:trPr>
        <w:tc>
          <w:tcPr>
            <w:tcW w:w="1324" w:type="pct"/>
            <w:vAlign w:val="center"/>
          </w:tcPr>
          <w:p w14:paraId="42339FA8">
            <w:pPr>
              <w:ind w:right="-288"/>
              <w:rPr>
                <w:rFonts w:ascii="黑体" w:hAnsi="黑体" w:eastAsia="黑体" w:cs="Times New Roman"/>
                <w:b/>
                <w:bCs/>
                <w:sz w:val="32"/>
                <w:szCs w:val="32"/>
                <w14:ligatures w14:val="none"/>
              </w:rPr>
            </w:pPr>
            <w:r>
              <w:rPr>
                <w:rFonts w:hint="eastAsia" w:ascii="黑体" w:hAnsi="黑体" w:eastAsia="黑体" w:cs="Times New Roman"/>
                <w:b/>
                <w:bCs/>
                <w:sz w:val="32"/>
                <w:szCs w:val="32"/>
                <w14:ligatures w14:val="none"/>
              </w:rPr>
              <w:t>课   程:</w:t>
            </w:r>
          </w:p>
        </w:tc>
        <w:tc>
          <w:tcPr>
            <w:tcW w:w="3520" w:type="pct"/>
            <w:vAlign w:val="center"/>
          </w:tcPr>
          <w:p w14:paraId="60AD9D38">
            <w:pPr>
              <w:jc w:val="center"/>
              <w:rPr>
                <w:rFonts w:ascii="仿宋" w:hAnsi="仿宋" w:eastAsia="仿宋" w:cs="宋体"/>
                <w:kern w:val="0"/>
                <w:sz w:val="30"/>
                <w:szCs w:val="30"/>
                <w:u w:val="single"/>
                <w14:ligatures w14:val="none"/>
              </w:rPr>
            </w:pPr>
            <w:r>
              <w:rPr>
                <w:rFonts w:hint="eastAsia" w:ascii="仿宋" w:hAnsi="仿宋" w:eastAsia="仿宋" w:cs="Times New Roman"/>
                <w:bCs/>
                <w:sz w:val="30"/>
                <w:szCs w:val="30"/>
                <w:u w:val="single"/>
                <w:lang w:val="en-US" w:eastAsia="zh-CN"/>
                <w14:ligatures w14:val="none"/>
              </w:rPr>
              <w:t>音乐鉴赏</w:t>
            </w:r>
          </w:p>
        </w:tc>
        <w:tc>
          <w:tcPr>
            <w:tcW w:w="155" w:type="pct"/>
            <w:vAlign w:val="center"/>
          </w:tcPr>
          <w:p w14:paraId="3742CB32">
            <w:pPr>
              <w:rPr>
                <w:rFonts w:ascii="黑体" w:hAnsi="黑体" w:eastAsia="黑体" w:cs="Times New Roman"/>
                <w:bCs/>
                <w:sz w:val="32"/>
                <w:szCs w:val="24"/>
                <w:u w:val="single"/>
                <w14:ligatures w14:val="none"/>
              </w:rPr>
            </w:pPr>
          </w:p>
        </w:tc>
      </w:tr>
      <w:tr w14:paraId="3290B078">
        <w:tblPrEx>
          <w:tblCellMar>
            <w:top w:w="0" w:type="dxa"/>
            <w:left w:w="108" w:type="dxa"/>
            <w:bottom w:w="0" w:type="dxa"/>
            <w:right w:w="108" w:type="dxa"/>
          </w:tblCellMar>
        </w:tblPrEx>
        <w:trPr>
          <w:trHeight w:val="630" w:hRule="atLeast"/>
        </w:trPr>
        <w:tc>
          <w:tcPr>
            <w:tcW w:w="1324" w:type="pct"/>
            <w:vAlign w:val="center"/>
          </w:tcPr>
          <w:p w14:paraId="45EE7F10">
            <w:pPr>
              <w:rPr>
                <w:rFonts w:ascii="黑体" w:hAnsi="黑体" w:eastAsia="黑体" w:cs="Times New Roman"/>
                <w:b/>
                <w:bCs/>
                <w:sz w:val="32"/>
                <w:szCs w:val="32"/>
                <w14:ligatures w14:val="none"/>
              </w:rPr>
            </w:pPr>
            <w:r>
              <w:rPr>
                <w:rFonts w:hint="eastAsia" w:ascii="黑体" w:hAnsi="黑体" w:eastAsia="黑体" w:cs="Times New Roman"/>
                <w:b/>
                <w:bCs/>
                <w:sz w:val="32"/>
                <w:szCs w:val="32"/>
                <w:lang w:val="en-US" w:eastAsia="zh-CN"/>
                <w14:ligatures w14:val="none"/>
              </w:rPr>
              <w:t>学</w:t>
            </w:r>
            <w:r>
              <w:rPr>
                <w:rFonts w:hint="eastAsia" w:ascii="黑体" w:hAnsi="黑体" w:eastAsia="黑体" w:cs="Times New Roman"/>
                <w:b/>
                <w:bCs/>
                <w:sz w:val="32"/>
                <w:szCs w:val="32"/>
                <w14:ligatures w14:val="none"/>
              </w:rPr>
              <w:t xml:space="preserve">   </w:t>
            </w:r>
            <w:r>
              <w:rPr>
                <w:rFonts w:hint="eastAsia" w:ascii="黑体" w:hAnsi="黑体" w:eastAsia="黑体" w:cs="Times New Roman"/>
                <w:b/>
                <w:bCs/>
                <w:sz w:val="32"/>
                <w:szCs w:val="32"/>
                <w:lang w:val="en-US" w:eastAsia="zh-CN"/>
                <w14:ligatures w14:val="none"/>
              </w:rPr>
              <w:t>院</w:t>
            </w:r>
            <w:r>
              <w:rPr>
                <w:rFonts w:hint="eastAsia" w:ascii="黑体" w:hAnsi="黑体" w:eastAsia="黑体" w:cs="Times New Roman"/>
                <w:b/>
                <w:bCs/>
                <w:sz w:val="32"/>
                <w:szCs w:val="32"/>
                <w14:ligatures w14:val="none"/>
              </w:rPr>
              <w:t>:</w:t>
            </w:r>
          </w:p>
        </w:tc>
        <w:tc>
          <w:tcPr>
            <w:tcW w:w="3520" w:type="pct"/>
            <w:vAlign w:val="center"/>
          </w:tcPr>
          <w:p w14:paraId="7B0545CC">
            <w:pPr>
              <w:jc w:val="center"/>
              <w:rPr>
                <w:rFonts w:ascii="仿宋" w:hAnsi="仿宋" w:eastAsia="仿宋" w:cs="Times New Roman"/>
                <w:bCs/>
                <w:sz w:val="30"/>
                <w:szCs w:val="30"/>
                <w14:ligatures w14:val="none"/>
              </w:rPr>
            </w:pPr>
            <w:r>
              <w:rPr>
                <w:rFonts w:hint="eastAsia" w:ascii="仿宋" w:hAnsi="仿宋" w:eastAsia="仿宋" w:cs="Times New Roman"/>
                <w:bCs/>
                <w:sz w:val="30"/>
                <w:szCs w:val="30"/>
                <w:u w:val="single"/>
                <w:lang w:val="en-US" w:eastAsia="zh-CN"/>
                <w14:ligatures w14:val="none"/>
              </w:rPr>
              <w:t>信息科学技术学院</w:t>
            </w:r>
          </w:p>
        </w:tc>
        <w:tc>
          <w:tcPr>
            <w:tcW w:w="155" w:type="pct"/>
            <w:vAlign w:val="center"/>
          </w:tcPr>
          <w:p w14:paraId="5ACE21F0">
            <w:pPr>
              <w:rPr>
                <w:rFonts w:ascii="黑体" w:hAnsi="黑体" w:eastAsia="黑体" w:cs="Times New Roman"/>
                <w:bCs/>
                <w:sz w:val="32"/>
                <w:szCs w:val="24"/>
                <w14:ligatures w14:val="none"/>
              </w:rPr>
            </w:pPr>
          </w:p>
        </w:tc>
      </w:tr>
      <w:tr w14:paraId="21B6F1FD">
        <w:tblPrEx>
          <w:tblCellMar>
            <w:top w:w="0" w:type="dxa"/>
            <w:left w:w="108" w:type="dxa"/>
            <w:bottom w:w="0" w:type="dxa"/>
            <w:right w:w="108" w:type="dxa"/>
          </w:tblCellMar>
        </w:tblPrEx>
        <w:trPr>
          <w:trHeight w:val="630" w:hRule="atLeast"/>
        </w:trPr>
        <w:tc>
          <w:tcPr>
            <w:tcW w:w="1324" w:type="pct"/>
            <w:vAlign w:val="center"/>
          </w:tcPr>
          <w:p w14:paraId="3DCE7F60">
            <w:pPr>
              <w:rPr>
                <w:rFonts w:ascii="黑体" w:hAnsi="黑体" w:eastAsia="黑体" w:cs="Times New Roman"/>
                <w:b/>
                <w:bCs/>
                <w:sz w:val="32"/>
                <w:szCs w:val="32"/>
                <w14:ligatures w14:val="none"/>
              </w:rPr>
            </w:pPr>
            <w:r>
              <w:rPr>
                <w:rFonts w:hint="eastAsia" w:ascii="黑体" w:hAnsi="黑体" w:eastAsia="黑体" w:cs="Times New Roman"/>
                <w:b/>
                <w:bCs/>
                <w:sz w:val="32"/>
                <w:szCs w:val="32"/>
                <w14:ligatures w14:val="none"/>
              </w:rPr>
              <w:t>专   业:</w:t>
            </w:r>
          </w:p>
        </w:tc>
        <w:tc>
          <w:tcPr>
            <w:tcW w:w="3520" w:type="pct"/>
            <w:vAlign w:val="center"/>
          </w:tcPr>
          <w:p w14:paraId="04764188">
            <w:pPr>
              <w:jc w:val="center"/>
              <w:rPr>
                <w:rFonts w:ascii="仿宋" w:hAnsi="仿宋" w:eastAsia="仿宋" w:cs="Times New Roman"/>
                <w:bCs/>
                <w:sz w:val="30"/>
                <w:szCs w:val="30"/>
                <w14:ligatures w14:val="none"/>
              </w:rPr>
            </w:pPr>
            <w:r>
              <w:rPr>
                <w:rFonts w:hint="eastAsia" w:ascii="仿宋" w:hAnsi="仿宋" w:eastAsia="仿宋" w:cs="Times New Roman"/>
                <w:bCs/>
                <w:sz w:val="30"/>
                <w:szCs w:val="30"/>
                <w:u w:val="single"/>
                <w:lang w:val="en-US" w:eastAsia="zh-CN"/>
                <w14:ligatures w14:val="none"/>
              </w:rPr>
              <w:t>计算机科学与技术</w:t>
            </w:r>
          </w:p>
        </w:tc>
        <w:tc>
          <w:tcPr>
            <w:tcW w:w="155" w:type="pct"/>
            <w:vAlign w:val="center"/>
          </w:tcPr>
          <w:p w14:paraId="28EB0260">
            <w:pPr>
              <w:rPr>
                <w:rFonts w:ascii="黑体" w:hAnsi="黑体" w:eastAsia="黑体" w:cs="Times New Roman"/>
                <w:bCs/>
                <w:sz w:val="32"/>
                <w:szCs w:val="24"/>
                <w14:ligatures w14:val="none"/>
              </w:rPr>
            </w:pPr>
          </w:p>
        </w:tc>
      </w:tr>
      <w:tr w14:paraId="0320C183">
        <w:tblPrEx>
          <w:tblCellMar>
            <w:top w:w="0" w:type="dxa"/>
            <w:left w:w="108" w:type="dxa"/>
            <w:bottom w:w="0" w:type="dxa"/>
            <w:right w:w="108" w:type="dxa"/>
          </w:tblCellMar>
        </w:tblPrEx>
        <w:trPr>
          <w:trHeight w:val="630" w:hRule="atLeast"/>
        </w:trPr>
        <w:tc>
          <w:tcPr>
            <w:tcW w:w="1324" w:type="pct"/>
            <w:vAlign w:val="center"/>
          </w:tcPr>
          <w:p w14:paraId="3C599B20">
            <w:pPr>
              <w:rPr>
                <w:rFonts w:ascii="黑体" w:hAnsi="黑体" w:eastAsia="黑体" w:cs="Times New Roman"/>
                <w:b/>
                <w:bCs/>
                <w:sz w:val="32"/>
                <w:szCs w:val="32"/>
                <w14:ligatures w14:val="none"/>
              </w:rPr>
            </w:pPr>
            <w:r>
              <w:rPr>
                <w:rFonts w:hint="eastAsia" w:ascii="黑体" w:hAnsi="黑体" w:eastAsia="黑体" w:cs="Times New Roman"/>
                <w:b/>
                <w:bCs/>
                <w:sz w:val="32"/>
                <w:szCs w:val="32"/>
                <w14:ligatures w14:val="none"/>
              </w:rPr>
              <w:t>班   级:</w:t>
            </w:r>
          </w:p>
        </w:tc>
        <w:tc>
          <w:tcPr>
            <w:tcW w:w="3520" w:type="pct"/>
            <w:vAlign w:val="center"/>
          </w:tcPr>
          <w:p w14:paraId="00C698EE">
            <w:pPr>
              <w:jc w:val="center"/>
              <w:rPr>
                <w:rFonts w:ascii="仿宋" w:hAnsi="仿宋" w:eastAsia="仿宋" w:cs="Times New Roman"/>
                <w:bCs/>
                <w:sz w:val="30"/>
                <w:szCs w:val="30"/>
                <w14:ligatures w14:val="none"/>
              </w:rPr>
            </w:pPr>
            <w:r>
              <w:rPr>
                <w:rFonts w:hint="eastAsia" w:ascii="仿宋" w:hAnsi="仿宋" w:eastAsia="仿宋" w:cs="Times New Roman"/>
                <w:bCs/>
                <w:sz w:val="30"/>
                <w:szCs w:val="30"/>
                <w:u w:val="single"/>
                <w:lang w:val="en-US" w:eastAsia="zh-CN"/>
                <w14:ligatures w14:val="none"/>
              </w:rPr>
              <w:t>23508012</w:t>
            </w:r>
          </w:p>
        </w:tc>
        <w:tc>
          <w:tcPr>
            <w:tcW w:w="155" w:type="pct"/>
            <w:vAlign w:val="center"/>
          </w:tcPr>
          <w:p w14:paraId="0EEC473C">
            <w:pPr>
              <w:rPr>
                <w:rFonts w:ascii="黑体" w:hAnsi="黑体" w:eastAsia="黑体" w:cs="Times New Roman"/>
                <w:bCs/>
                <w:sz w:val="32"/>
                <w:szCs w:val="24"/>
                <w14:ligatures w14:val="none"/>
              </w:rPr>
            </w:pPr>
          </w:p>
        </w:tc>
      </w:tr>
      <w:tr w14:paraId="7975C5AD">
        <w:tblPrEx>
          <w:tblCellMar>
            <w:top w:w="0" w:type="dxa"/>
            <w:left w:w="108" w:type="dxa"/>
            <w:bottom w:w="0" w:type="dxa"/>
            <w:right w:w="108" w:type="dxa"/>
          </w:tblCellMar>
        </w:tblPrEx>
        <w:trPr>
          <w:trHeight w:val="630" w:hRule="atLeast"/>
        </w:trPr>
        <w:tc>
          <w:tcPr>
            <w:tcW w:w="1324" w:type="pct"/>
            <w:vAlign w:val="center"/>
          </w:tcPr>
          <w:p w14:paraId="0FE2437C">
            <w:pPr>
              <w:rPr>
                <w:rFonts w:ascii="黑体" w:hAnsi="黑体" w:eastAsia="黑体" w:cs="Times New Roman"/>
                <w:b/>
                <w:bCs/>
                <w:sz w:val="32"/>
                <w:szCs w:val="32"/>
                <w14:ligatures w14:val="none"/>
              </w:rPr>
            </w:pPr>
            <w:r>
              <w:rPr>
                <w:rFonts w:hint="eastAsia" w:ascii="黑体" w:hAnsi="黑体" w:eastAsia="黑体" w:cs="Times New Roman"/>
                <w:b/>
                <w:bCs/>
                <w:sz w:val="32"/>
                <w:szCs w:val="32"/>
                <w14:ligatures w14:val="none"/>
              </w:rPr>
              <w:t>学   号:</w:t>
            </w:r>
          </w:p>
        </w:tc>
        <w:tc>
          <w:tcPr>
            <w:tcW w:w="3520" w:type="pct"/>
            <w:vAlign w:val="center"/>
          </w:tcPr>
          <w:p w14:paraId="66AD9E47">
            <w:pPr>
              <w:jc w:val="center"/>
              <w:rPr>
                <w:rFonts w:ascii="仿宋" w:hAnsi="仿宋" w:eastAsia="仿宋" w:cs="Times New Roman"/>
                <w:bCs/>
                <w:sz w:val="30"/>
                <w:szCs w:val="30"/>
                <w14:ligatures w14:val="none"/>
              </w:rPr>
            </w:pPr>
          </w:p>
        </w:tc>
        <w:tc>
          <w:tcPr>
            <w:tcW w:w="155" w:type="pct"/>
            <w:vAlign w:val="center"/>
          </w:tcPr>
          <w:p w14:paraId="2CAD6B1A">
            <w:pPr>
              <w:rPr>
                <w:rFonts w:ascii="黑体" w:hAnsi="黑体" w:eastAsia="黑体" w:cs="Times New Roman"/>
                <w:bCs/>
                <w:sz w:val="32"/>
                <w:szCs w:val="24"/>
                <w14:ligatures w14:val="none"/>
              </w:rPr>
            </w:pPr>
          </w:p>
        </w:tc>
      </w:tr>
      <w:tr w14:paraId="3C8F193B">
        <w:tblPrEx>
          <w:tblCellMar>
            <w:top w:w="0" w:type="dxa"/>
            <w:left w:w="108" w:type="dxa"/>
            <w:bottom w:w="0" w:type="dxa"/>
            <w:right w:w="108" w:type="dxa"/>
          </w:tblCellMar>
        </w:tblPrEx>
        <w:trPr>
          <w:trHeight w:val="630" w:hRule="atLeast"/>
        </w:trPr>
        <w:tc>
          <w:tcPr>
            <w:tcW w:w="1324" w:type="pct"/>
            <w:vAlign w:val="center"/>
          </w:tcPr>
          <w:p w14:paraId="3B02BEBE">
            <w:pPr>
              <w:rPr>
                <w:rFonts w:ascii="黑体" w:hAnsi="黑体" w:eastAsia="黑体" w:cs="Times New Roman"/>
                <w:b/>
                <w:bCs/>
                <w:sz w:val="32"/>
                <w:szCs w:val="32"/>
                <w14:ligatures w14:val="none"/>
              </w:rPr>
            </w:pPr>
            <w:r>
              <w:rPr>
                <w:rFonts w:hint="eastAsia" w:ascii="黑体" w:hAnsi="黑体" w:eastAsia="黑体" w:cs="Times New Roman"/>
                <w:b/>
                <w:bCs/>
                <w:sz w:val="32"/>
                <w:szCs w:val="32"/>
                <w14:ligatures w14:val="none"/>
              </w:rPr>
              <w:t>学生姓名：</w:t>
            </w:r>
          </w:p>
        </w:tc>
        <w:tc>
          <w:tcPr>
            <w:tcW w:w="3520" w:type="pct"/>
            <w:vAlign w:val="center"/>
          </w:tcPr>
          <w:p w14:paraId="70040162">
            <w:pPr>
              <w:jc w:val="center"/>
              <w:rPr>
                <w:rFonts w:ascii="仿宋" w:hAnsi="仿宋" w:eastAsia="仿宋" w:cs="Times New Roman"/>
                <w:bCs/>
                <w:sz w:val="30"/>
                <w:szCs w:val="30"/>
                <w14:ligatures w14:val="none"/>
              </w:rPr>
            </w:pPr>
          </w:p>
        </w:tc>
        <w:tc>
          <w:tcPr>
            <w:tcW w:w="155" w:type="pct"/>
            <w:vAlign w:val="center"/>
          </w:tcPr>
          <w:p w14:paraId="16A8FF9B">
            <w:pPr>
              <w:rPr>
                <w:rFonts w:ascii="黑体" w:hAnsi="黑体" w:eastAsia="黑体" w:cs="Times New Roman"/>
                <w:bCs/>
                <w:sz w:val="32"/>
                <w:szCs w:val="24"/>
                <w14:ligatures w14:val="none"/>
              </w:rPr>
            </w:pPr>
          </w:p>
        </w:tc>
      </w:tr>
      <w:tr w14:paraId="2E8FCFA2">
        <w:tblPrEx>
          <w:tblCellMar>
            <w:top w:w="0" w:type="dxa"/>
            <w:left w:w="108" w:type="dxa"/>
            <w:bottom w:w="0" w:type="dxa"/>
            <w:right w:w="108" w:type="dxa"/>
          </w:tblCellMar>
        </w:tblPrEx>
        <w:trPr>
          <w:trHeight w:val="630" w:hRule="atLeast"/>
        </w:trPr>
        <w:tc>
          <w:tcPr>
            <w:tcW w:w="1324" w:type="pct"/>
            <w:vAlign w:val="center"/>
          </w:tcPr>
          <w:p w14:paraId="09CED7EA">
            <w:pPr>
              <w:rPr>
                <w:rFonts w:ascii="黑体" w:hAnsi="黑体" w:eastAsia="黑体" w:cs="Times New Roman"/>
                <w:b/>
                <w:bCs/>
                <w:sz w:val="32"/>
                <w:szCs w:val="32"/>
                <w14:ligatures w14:val="none"/>
              </w:rPr>
            </w:pPr>
            <w:r>
              <w:rPr>
                <w:rFonts w:hint="eastAsia" w:ascii="黑体" w:hAnsi="黑体" w:eastAsia="黑体" w:cs="Times New Roman"/>
                <w:b/>
                <w:bCs/>
                <w:spacing w:val="-20"/>
                <w:sz w:val="32"/>
                <w:szCs w:val="32"/>
                <w14:ligatures w14:val="none"/>
              </w:rPr>
              <w:t>任课</w:t>
            </w:r>
            <w:r>
              <w:rPr>
                <w:rFonts w:hint="eastAsia" w:ascii="黑体" w:hAnsi="黑体" w:eastAsia="黑体" w:cs="Times New Roman"/>
                <w:b/>
                <w:bCs/>
                <w:sz w:val="32"/>
                <w:szCs w:val="32"/>
                <w14:ligatures w14:val="none"/>
              </w:rPr>
              <w:t>教师:</w:t>
            </w:r>
          </w:p>
        </w:tc>
        <w:tc>
          <w:tcPr>
            <w:tcW w:w="3520" w:type="pct"/>
            <w:vAlign w:val="center"/>
          </w:tcPr>
          <w:p w14:paraId="5BD13702">
            <w:pPr>
              <w:jc w:val="center"/>
              <w:rPr>
                <w:rFonts w:ascii="黑体" w:hAnsi="黑体" w:eastAsia="黑体" w:cs="Times New Roman"/>
                <w:bCs/>
                <w:sz w:val="32"/>
                <w:szCs w:val="24"/>
                <w14:ligatures w14:val="none"/>
              </w:rPr>
            </w:pPr>
            <w:r>
              <w:rPr>
                <w:rFonts w:hint="eastAsia" w:ascii="仿宋_GB2312" w:hAnsi="黑体" w:eastAsia="仿宋_GB2312" w:cs="Times New Roman"/>
                <w:bCs/>
                <w:sz w:val="30"/>
                <w:szCs w:val="30"/>
                <w:u w:val="single"/>
                <w:lang w:val="en-US" w:eastAsia="zh-CN"/>
                <w14:ligatures w14:val="none"/>
              </w:rPr>
              <w:t>韦靖、张政</w:t>
            </w:r>
          </w:p>
        </w:tc>
        <w:tc>
          <w:tcPr>
            <w:tcW w:w="155" w:type="pct"/>
            <w:vAlign w:val="center"/>
          </w:tcPr>
          <w:p w14:paraId="22F5BE25">
            <w:pPr>
              <w:rPr>
                <w:rFonts w:ascii="黑体" w:hAnsi="黑体" w:eastAsia="黑体" w:cs="Times New Roman"/>
                <w:bCs/>
                <w:sz w:val="32"/>
                <w:szCs w:val="24"/>
                <w14:ligatures w14:val="none"/>
              </w:rPr>
            </w:pPr>
          </w:p>
        </w:tc>
      </w:tr>
      <w:tr w14:paraId="76DF6020">
        <w:tblPrEx>
          <w:tblCellMar>
            <w:top w:w="0" w:type="dxa"/>
            <w:left w:w="108" w:type="dxa"/>
            <w:bottom w:w="0" w:type="dxa"/>
            <w:right w:w="108" w:type="dxa"/>
          </w:tblCellMar>
        </w:tblPrEx>
        <w:trPr>
          <w:cantSplit/>
          <w:trHeight w:val="866" w:hRule="atLeast"/>
        </w:trPr>
        <w:tc>
          <w:tcPr>
            <w:tcW w:w="5000" w:type="pct"/>
            <w:gridSpan w:val="3"/>
            <w:vAlign w:val="center"/>
          </w:tcPr>
          <w:p w14:paraId="3C6AD061">
            <w:pPr>
              <w:jc w:val="center"/>
              <w:rPr>
                <w:rFonts w:ascii="方正姚体" w:hAnsi="Times New Roman" w:eastAsia="方正姚体" w:cs="Times New Roman"/>
                <w:sz w:val="32"/>
                <w:szCs w:val="24"/>
                <w14:ligatures w14:val="none"/>
              </w:rPr>
            </w:pPr>
          </w:p>
          <w:p w14:paraId="300EB768">
            <w:pPr>
              <w:jc w:val="center"/>
              <w:rPr>
                <w:rFonts w:ascii="方正姚体" w:hAnsi="Times New Roman" w:eastAsia="方正姚体" w:cs="Times New Roman"/>
                <w:sz w:val="32"/>
                <w:szCs w:val="24"/>
                <w14:ligatures w14:val="none"/>
              </w:rPr>
            </w:pPr>
          </w:p>
          <w:p w14:paraId="3A2DEBFF">
            <w:pPr>
              <w:jc w:val="center"/>
              <w:rPr>
                <w:rFonts w:ascii="方正姚体" w:hAnsi="Times New Roman" w:eastAsia="方正姚体" w:cs="Times New Roman"/>
                <w:sz w:val="32"/>
                <w:szCs w:val="24"/>
                <w14:ligatures w14:val="none"/>
              </w:rPr>
            </w:pPr>
          </w:p>
          <w:p w14:paraId="0602AE8A">
            <w:pPr>
              <w:jc w:val="center"/>
              <w:rPr>
                <w:rFonts w:ascii="方正姚体" w:hAnsi="Times New Roman" w:eastAsia="方正姚体" w:cs="Times New Roman"/>
                <w:sz w:val="32"/>
                <w:szCs w:val="24"/>
                <w14:ligatures w14:val="none"/>
              </w:rPr>
            </w:pPr>
          </w:p>
        </w:tc>
      </w:tr>
      <w:tr w14:paraId="7D718148">
        <w:tblPrEx>
          <w:tblCellMar>
            <w:top w:w="0" w:type="dxa"/>
            <w:left w:w="108" w:type="dxa"/>
            <w:bottom w:w="0" w:type="dxa"/>
            <w:right w:w="108" w:type="dxa"/>
          </w:tblCellMar>
        </w:tblPrEx>
        <w:trPr>
          <w:cantSplit/>
          <w:trHeight w:val="783" w:hRule="atLeast"/>
        </w:trPr>
        <w:tc>
          <w:tcPr>
            <w:tcW w:w="5000" w:type="pct"/>
            <w:gridSpan w:val="3"/>
            <w:vAlign w:val="center"/>
          </w:tcPr>
          <w:p w14:paraId="401BFEDA">
            <w:pPr>
              <w:jc w:val="center"/>
              <w:rPr>
                <w:rFonts w:ascii="宋体" w:hAnsi="宋体" w:cs="Times New Roman"/>
                <w:sz w:val="32"/>
                <w:szCs w:val="24"/>
                <w14:ligatures w14:val="none"/>
              </w:rPr>
            </w:pPr>
            <w:r>
              <w:rPr>
                <w:rFonts w:hint="eastAsia" w:ascii="宋体" w:hAnsi="宋体" w:cs="Times New Roman"/>
                <w:bCs/>
                <w:sz w:val="32"/>
                <w:szCs w:val="24"/>
                <w14:ligatures w14:val="none"/>
              </w:rPr>
              <w:t>二○二</w:t>
            </w:r>
            <w:r>
              <w:rPr>
                <w:rFonts w:hint="eastAsia" w:ascii="宋体" w:hAnsi="宋体" w:cs="Times New Roman"/>
                <w:bCs/>
                <w:sz w:val="32"/>
                <w:szCs w:val="24"/>
                <w:lang w:val="en-US" w:eastAsia="zh-CN"/>
                <w14:ligatures w14:val="none"/>
              </w:rPr>
              <w:t>五</w:t>
            </w:r>
            <w:r>
              <w:rPr>
                <w:rFonts w:hint="eastAsia" w:ascii="宋体" w:hAnsi="宋体" w:cs="Times New Roman"/>
                <w:bCs/>
                <w:sz w:val="32"/>
                <w:szCs w:val="24"/>
                <w14:ligatures w14:val="none"/>
              </w:rPr>
              <w:t>年五月十日</w:t>
            </w:r>
          </w:p>
        </w:tc>
      </w:tr>
    </w:tbl>
    <w:p w14:paraId="3E2ACC54"/>
    <w:p w14:paraId="4B1F78BB"/>
    <w:p w14:paraId="11989A51"/>
    <w:p w14:paraId="5B098475"/>
    <w:p w14:paraId="531EE820"/>
    <w:p w14:paraId="007580C6"/>
    <w:p w14:paraId="76729EC2"/>
    <w:p w14:paraId="7A26F98C"/>
    <w:p w14:paraId="3E0B6334"/>
    <w:p w14:paraId="3B10827B"/>
    <w:p w14:paraId="79A4619A"/>
    <w:p w14:paraId="70AA056D"/>
    <w:p w14:paraId="563B882A"/>
    <w:p w14:paraId="2BEA1A36"/>
    <w:p w14:paraId="2F250D30"/>
    <w:p w14:paraId="73B0DF50"/>
    <w:p w14:paraId="05C97DC7"/>
    <w:p w14:paraId="5C644433"/>
    <w:p w14:paraId="585FBC14"/>
    <w:p w14:paraId="717C94BA"/>
    <w:p w14:paraId="100D67E1"/>
    <w:p w14:paraId="700F7BD8"/>
    <w:p w14:paraId="01641794"/>
    <w:p w14:paraId="50C55947"/>
    <w:p w14:paraId="454FBCB4"/>
    <w:p w14:paraId="19ED13AD"/>
    <w:p w14:paraId="0D072FC5"/>
    <w:p w14:paraId="68E0208F"/>
    <w:p w14:paraId="3BECBA24"/>
    <w:p w14:paraId="6B6A3EB2"/>
    <w:p w14:paraId="1F8C3376"/>
    <w:p w14:paraId="0C1D4566"/>
    <w:p w14:paraId="3A232515"/>
    <w:p w14:paraId="2EDD1B68">
      <w:pPr>
        <w:pStyle w:val="2"/>
        <w:keepNext w:val="0"/>
        <w:keepLines w:val="0"/>
        <w:widowControl/>
        <w:suppressLineNumbers w:val="0"/>
        <w:shd w:val="clear" w:fill="FFFFFF"/>
        <w:spacing w:line="360" w:lineRule="auto"/>
        <w:ind w:left="0" w:firstLine="0"/>
        <w:jc w:val="center"/>
        <w:rPr>
          <w:rFonts w:hint="eastAsia" w:ascii="宋体" w:hAnsi="宋体" w:eastAsia="宋体" w:cs="宋体"/>
          <w:i w:val="0"/>
          <w:iCs w:val="0"/>
          <w:caps w:val="0"/>
          <w:color w:val="1B1C21"/>
          <w:spacing w:val="5"/>
          <w:sz w:val="32"/>
          <w:szCs w:val="32"/>
        </w:rPr>
      </w:pPr>
      <w:r>
        <w:rPr>
          <w:rStyle w:val="10"/>
          <w:rFonts w:hint="eastAsia" w:ascii="宋体" w:hAnsi="宋体" w:eastAsia="宋体" w:cs="宋体"/>
          <w:b/>
          <w:bCs/>
          <w:i w:val="0"/>
          <w:iCs w:val="0"/>
          <w:caps w:val="0"/>
          <w:spacing w:val="5"/>
          <w:sz w:val="32"/>
          <w:szCs w:val="32"/>
          <w:shd w:val="clear" w:fill="FFFFFF"/>
        </w:rPr>
        <w:t>音乐风格特征与审美评价的双向探索</w:t>
      </w:r>
      <w:r>
        <w:rPr>
          <w:rStyle w:val="10"/>
          <w:rFonts w:hint="eastAsia" w:ascii="宋体" w:hAnsi="宋体" w:eastAsia="宋体" w:cs="宋体"/>
          <w:b/>
          <w:bCs/>
          <w:i w:val="0"/>
          <w:iCs w:val="0"/>
          <w:caps w:val="0"/>
          <w:color w:val="1B1C21"/>
          <w:spacing w:val="5"/>
          <w:sz w:val="32"/>
          <w:szCs w:val="32"/>
          <w:shd w:val="clear" w:fill="FFFFFF"/>
        </w:rPr>
        <w:t>——以古典音乐与爵士乐为中心的研究</w:t>
      </w:r>
    </w:p>
    <w:p w14:paraId="3B1D9448">
      <w:pPr>
        <w:pStyle w:val="3"/>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Style w:val="10"/>
          <w:rFonts w:hint="eastAsia" w:ascii="仿宋" w:hAnsi="仿宋" w:eastAsia="仿宋" w:cs="仿宋"/>
          <w:b/>
          <w:bCs/>
          <w:i w:val="0"/>
          <w:iCs w:val="0"/>
          <w:caps w:val="0"/>
          <w:spacing w:val="5"/>
          <w:sz w:val="24"/>
          <w:szCs w:val="24"/>
          <w:shd w:val="clear" w:fill="FFFFFF"/>
        </w:rPr>
        <w:t>摘要</w:t>
      </w:r>
    </w:p>
    <w:p w14:paraId="0711744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仿宋" w:hAnsi="仿宋" w:eastAsia="仿宋" w:cs="仿宋"/>
          <w:i w:val="0"/>
          <w:iCs w:val="0"/>
          <w:caps w:val="0"/>
          <w:color w:val="1B1C21"/>
          <w:spacing w:val="5"/>
          <w:sz w:val="24"/>
          <w:szCs w:val="24"/>
        </w:rPr>
      </w:pPr>
      <w:r>
        <w:rPr>
          <w:rFonts w:hint="eastAsia" w:ascii="仿宋" w:hAnsi="仿宋" w:eastAsia="仿宋" w:cs="仿宋"/>
          <w:i w:val="0"/>
          <w:iCs w:val="0"/>
          <w:caps w:val="0"/>
          <w:color w:val="1B1C21"/>
          <w:spacing w:val="5"/>
          <w:sz w:val="24"/>
          <w:szCs w:val="24"/>
          <w:shd w:val="clear" w:fill="FFFFFF"/>
        </w:rPr>
        <w:t>音乐风格是技术积累与人文精神的结晶，而审美评价则是对其艺术价值的理性审视。本文以古典音乐与爵士乐为研究对象，通过分析两者的形式特征、历史演进及代表性作品，揭示风格差异背后的技术逻辑与文化诉求；同时以贝多芬《第九交响曲》和迈克尔·杰克逊《Thriller》为例，构建“技术-情感-文化”三维评价体系，探讨音乐经典的价值标准。研究发现，风格的创新性与评价的多维性共同推动音乐从听觉艺术升华为文明符号。</w:t>
      </w:r>
    </w:p>
    <w:p w14:paraId="479B57A7">
      <w:pPr>
        <w:pStyle w:val="3"/>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Style w:val="10"/>
          <w:rFonts w:hint="eastAsia" w:ascii="仿宋" w:hAnsi="仿宋" w:eastAsia="仿宋" w:cs="仿宋"/>
          <w:b/>
          <w:bCs/>
          <w:i w:val="0"/>
          <w:iCs w:val="0"/>
          <w:caps w:val="0"/>
          <w:spacing w:val="5"/>
          <w:sz w:val="24"/>
          <w:szCs w:val="24"/>
          <w:shd w:val="clear" w:fill="FFFFFF"/>
        </w:rPr>
        <w:t>关键词</w:t>
      </w:r>
    </w:p>
    <w:p w14:paraId="4D7C2D1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仿宋" w:hAnsi="仿宋" w:eastAsia="仿宋" w:cs="仿宋"/>
          <w:i w:val="0"/>
          <w:iCs w:val="0"/>
          <w:caps w:val="0"/>
          <w:color w:val="1B1C21"/>
          <w:spacing w:val="5"/>
          <w:sz w:val="24"/>
          <w:szCs w:val="24"/>
        </w:rPr>
      </w:pPr>
      <w:r>
        <w:rPr>
          <w:rFonts w:hint="eastAsia" w:ascii="仿宋" w:hAnsi="仿宋" w:eastAsia="仿宋" w:cs="仿宋"/>
          <w:i w:val="0"/>
          <w:iCs w:val="0"/>
          <w:caps w:val="0"/>
          <w:color w:val="1B1C21"/>
          <w:spacing w:val="5"/>
          <w:sz w:val="24"/>
          <w:szCs w:val="24"/>
          <w:shd w:val="clear" w:fill="FFFFFF"/>
        </w:rPr>
        <w:t>音乐风格；审美评价；古典音乐；爵士乐；技术革新</w:t>
      </w:r>
    </w:p>
    <w:p w14:paraId="50763BBC">
      <w:pPr>
        <w:pStyle w:val="3"/>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Style w:val="10"/>
          <w:rFonts w:hint="eastAsia" w:ascii="仿宋" w:hAnsi="仿宋" w:eastAsia="仿宋" w:cs="仿宋"/>
          <w:b/>
          <w:bCs/>
          <w:i w:val="0"/>
          <w:iCs w:val="0"/>
          <w:caps w:val="0"/>
          <w:spacing w:val="5"/>
          <w:sz w:val="24"/>
          <w:szCs w:val="24"/>
          <w:shd w:val="clear" w:fill="FFFFFF"/>
        </w:rPr>
        <w:t>引言</w:t>
      </w:r>
    </w:p>
    <w:p w14:paraId="3EAECA8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仿宋" w:hAnsi="仿宋" w:eastAsia="仿宋" w:cs="仿宋"/>
          <w:i w:val="0"/>
          <w:iCs w:val="0"/>
          <w:caps w:val="0"/>
          <w:color w:val="1B1C21"/>
          <w:spacing w:val="5"/>
          <w:sz w:val="24"/>
          <w:szCs w:val="24"/>
        </w:rPr>
      </w:pPr>
      <w:r>
        <w:rPr>
          <w:rFonts w:hint="eastAsia" w:ascii="仿宋" w:hAnsi="仿宋" w:eastAsia="仿宋" w:cs="仿宋"/>
          <w:i w:val="0"/>
          <w:iCs w:val="0"/>
          <w:caps w:val="0"/>
          <w:color w:val="1B1C21"/>
          <w:spacing w:val="5"/>
          <w:sz w:val="24"/>
          <w:szCs w:val="24"/>
          <w:shd w:val="clear" w:fill="FFFFFF"/>
        </w:rPr>
        <w:t>音乐鉴赏的本质是通过风格解码与价值评判，理解人类情感与文化的表达。古典音乐以形式理性为核心，爵士乐以即兴自由为标志，两者分别代表了西方音乐史上的技术高峰与文化反叛。本文选取这两大风格流派，结合具体作品分析其技术特征与审美价值，旨在回答“音乐如何通过风格创新传递精神内涵”与“如何评价音乐的艺术高度”两大核心问题。</w:t>
      </w:r>
    </w:p>
    <w:p w14:paraId="54747C3F">
      <w:pPr>
        <w:pStyle w:val="3"/>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Style w:val="10"/>
          <w:rFonts w:hint="eastAsia" w:ascii="仿宋" w:hAnsi="仿宋" w:eastAsia="仿宋" w:cs="仿宋"/>
          <w:b/>
          <w:bCs/>
          <w:i w:val="0"/>
          <w:iCs w:val="0"/>
          <w:caps w:val="0"/>
          <w:spacing w:val="5"/>
          <w:sz w:val="24"/>
          <w:szCs w:val="24"/>
          <w:shd w:val="clear" w:fill="FFFFFF"/>
        </w:rPr>
        <w:t>一、音乐风格与流派：技术理性与自由精神的辩证</w:t>
      </w:r>
    </w:p>
    <w:p w14:paraId="5B47B5F0">
      <w:pPr>
        <w:pStyle w:val="4"/>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Fonts w:hint="eastAsia" w:ascii="仿宋" w:hAnsi="仿宋" w:eastAsia="仿宋" w:cs="仿宋"/>
          <w:b/>
          <w:bCs/>
          <w:i w:val="0"/>
          <w:iCs w:val="0"/>
          <w:caps w:val="0"/>
          <w:spacing w:val="5"/>
          <w:sz w:val="24"/>
          <w:szCs w:val="24"/>
          <w:shd w:val="clear" w:fill="FFFFFF"/>
        </w:rPr>
        <w:t>1.1 古典音乐：形式秩序中的人文觉醒</w:t>
      </w:r>
    </w:p>
    <w:p w14:paraId="074D622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仿宋" w:hAnsi="仿宋" w:eastAsia="仿宋" w:cs="仿宋"/>
          <w:i w:val="0"/>
          <w:iCs w:val="0"/>
          <w:caps w:val="0"/>
          <w:color w:val="1B1C21"/>
          <w:spacing w:val="5"/>
          <w:sz w:val="24"/>
          <w:szCs w:val="24"/>
        </w:rPr>
      </w:pPr>
      <w:r>
        <w:rPr>
          <w:rFonts w:hint="eastAsia" w:ascii="仿宋" w:hAnsi="仿宋" w:eastAsia="仿宋" w:cs="仿宋"/>
          <w:i w:val="0"/>
          <w:iCs w:val="0"/>
          <w:caps w:val="0"/>
          <w:color w:val="1B1C21"/>
          <w:spacing w:val="5"/>
          <w:sz w:val="24"/>
          <w:szCs w:val="24"/>
          <w:shd w:val="clear" w:fill="FFFFFF"/>
        </w:rPr>
        <w:t>古典音乐（Classical Music）的巅峰集中于18-19世纪的维也纳古典主义与浪漫主义时期，其核心特征在于</w:t>
      </w:r>
      <w:r>
        <w:rPr>
          <w:rStyle w:val="10"/>
          <w:rFonts w:hint="eastAsia" w:ascii="仿宋" w:hAnsi="仿宋" w:eastAsia="仿宋" w:cs="仿宋"/>
          <w:b/>
          <w:bCs/>
          <w:i w:val="0"/>
          <w:iCs w:val="0"/>
          <w:caps w:val="0"/>
          <w:color w:val="1B1C21"/>
          <w:spacing w:val="5"/>
          <w:sz w:val="24"/>
          <w:szCs w:val="24"/>
          <w:shd w:val="clear" w:fill="FFFFFF"/>
        </w:rPr>
        <w:t>形式结构的均衡性</w:t>
      </w:r>
      <w:r>
        <w:rPr>
          <w:rFonts w:hint="eastAsia" w:ascii="仿宋" w:hAnsi="仿宋" w:eastAsia="仿宋" w:cs="仿宋"/>
          <w:i w:val="0"/>
          <w:iCs w:val="0"/>
          <w:caps w:val="0"/>
          <w:color w:val="1B1C21"/>
          <w:spacing w:val="5"/>
          <w:sz w:val="24"/>
          <w:szCs w:val="24"/>
          <w:shd w:val="clear" w:fill="FFFFFF"/>
        </w:rPr>
        <w:t>与</w:t>
      </w:r>
      <w:r>
        <w:rPr>
          <w:rStyle w:val="10"/>
          <w:rFonts w:hint="eastAsia" w:ascii="仿宋" w:hAnsi="仿宋" w:eastAsia="仿宋" w:cs="仿宋"/>
          <w:b/>
          <w:bCs/>
          <w:i w:val="0"/>
          <w:iCs w:val="0"/>
          <w:caps w:val="0"/>
          <w:color w:val="1B1C21"/>
          <w:spacing w:val="5"/>
          <w:sz w:val="24"/>
          <w:szCs w:val="24"/>
          <w:shd w:val="clear" w:fill="FFFFFF"/>
        </w:rPr>
        <w:t>情感表达的克制性</w:t>
      </w:r>
      <w:r>
        <w:rPr>
          <w:rFonts w:hint="eastAsia" w:ascii="仿宋" w:hAnsi="仿宋" w:eastAsia="仿宋" w:cs="仿宋"/>
          <w:i w:val="0"/>
          <w:iCs w:val="0"/>
          <w:caps w:val="0"/>
          <w:color w:val="1B1C21"/>
          <w:spacing w:val="5"/>
          <w:sz w:val="24"/>
          <w:szCs w:val="24"/>
          <w:shd w:val="clear" w:fill="FFFFFF"/>
        </w:rPr>
        <w:t>。</w:t>
      </w:r>
    </w:p>
    <w:p w14:paraId="3F60A6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仿宋" w:hAnsi="仿宋" w:eastAsia="仿宋" w:cs="仿宋"/>
          <w:sz w:val="24"/>
          <w:szCs w:val="24"/>
        </w:rPr>
      </w:pPr>
      <w:r>
        <w:rPr>
          <w:rStyle w:val="10"/>
          <w:rFonts w:hint="eastAsia" w:ascii="仿宋" w:hAnsi="仿宋" w:eastAsia="仿宋" w:cs="仿宋"/>
          <w:b/>
          <w:bCs/>
          <w:i w:val="0"/>
          <w:iCs w:val="0"/>
          <w:caps w:val="0"/>
          <w:color w:val="1B1C21"/>
          <w:sz w:val="24"/>
          <w:szCs w:val="24"/>
          <w:shd w:val="clear" w:fill="FFFFFF"/>
        </w:rPr>
        <w:t>技术特征</w:t>
      </w:r>
      <w:r>
        <w:rPr>
          <w:rFonts w:hint="eastAsia" w:ascii="仿宋" w:hAnsi="仿宋" w:eastAsia="仿宋" w:cs="仿宋"/>
          <w:i w:val="0"/>
          <w:iCs w:val="0"/>
          <w:caps w:val="0"/>
          <w:color w:val="1B1C21"/>
          <w:sz w:val="24"/>
          <w:szCs w:val="24"/>
          <w:shd w:val="clear" w:fill="FFFFFF"/>
        </w:rPr>
        <w:t>：海顿确立四乐章交响曲框架，莫扎特以旋律的透明性与戏剧冲突著称，贝多芬则通过《第九交响曲》打破传统，首次在末乐章引入人声合唱席勒的《欢乐颂》。该作品以D小调起始，通过复调赋格段与宏大的合唱叠加，完成从个人抗争到人类大同的理想升华，标志着古典主义向浪漫主义的转型。</w:t>
      </w:r>
    </w:p>
    <w:p w14:paraId="76D808D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仿宋" w:hAnsi="仿宋" w:eastAsia="仿宋" w:cs="仿宋"/>
          <w:sz w:val="24"/>
          <w:szCs w:val="24"/>
        </w:rPr>
      </w:pPr>
      <w:r>
        <w:rPr>
          <w:rStyle w:val="10"/>
          <w:rFonts w:hint="eastAsia" w:ascii="仿宋" w:hAnsi="仿宋" w:eastAsia="仿宋" w:cs="仿宋"/>
          <w:b/>
          <w:bCs/>
          <w:i w:val="0"/>
          <w:iCs w:val="0"/>
          <w:caps w:val="0"/>
          <w:color w:val="1B1C21"/>
          <w:sz w:val="24"/>
          <w:szCs w:val="24"/>
          <w:shd w:val="clear" w:fill="FFFFFF"/>
        </w:rPr>
        <w:t>文化意义</w:t>
      </w:r>
      <w:r>
        <w:rPr>
          <w:rFonts w:hint="eastAsia" w:ascii="仿宋" w:hAnsi="仿宋" w:eastAsia="仿宋" w:cs="仿宋"/>
          <w:i w:val="0"/>
          <w:iCs w:val="0"/>
          <w:caps w:val="0"/>
          <w:color w:val="1B1C21"/>
          <w:sz w:val="24"/>
          <w:szCs w:val="24"/>
          <w:shd w:val="clear" w:fill="FFFFFF"/>
        </w:rPr>
        <w:t>：浪漫主义音乐（如肖邦夜曲、瓦格纳歌剧）进一步弱化形式约束，以标题音乐（如柏辽兹《幻想交响曲》）强化文学性叙事，赋予音乐“看得见的情感”，使音乐从贵族沙龙走向人文主义高地。</w:t>
      </w:r>
    </w:p>
    <w:p w14:paraId="54B5D4A7">
      <w:pPr>
        <w:pStyle w:val="4"/>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Fonts w:hint="eastAsia" w:ascii="仿宋" w:hAnsi="仿宋" w:eastAsia="仿宋" w:cs="仿宋"/>
          <w:b/>
          <w:bCs/>
          <w:i w:val="0"/>
          <w:iCs w:val="0"/>
          <w:caps w:val="0"/>
          <w:spacing w:val="5"/>
          <w:sz w:val="24"/>
          <w:szCs w:val="24"/>
          <w:shd w:val="clear" w:fill="FFFFFF"/>
        </w:rPr>
        <w:t>1.2 爵士乐：即兴传统的文化解构与重构</w:t>
      </w:r>
    </w:p>
    <w:p w14:paraId="7848871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仿宋" w:hAnsi="仿宋" w:eastAsia="仿宋" w:cs="仿宋"/>
          <w:i w:val="0"/>
          <w:iCs w:val="0"/>
          <w:caps w:val="0"/>
          <w:color w:val="1B1C21"/>
          <w:spacing w:val="5"/>
          <w:sz w:val="24"/>
          <w:szCs w:val="24"/>
        </w:rPr>
      </w:pPr>
      <w:r>
        <w:rPr>
          <w:rFonts w:hint="eastAsia" w:ascii="仿宋" w:hAnsi="仿宋" w:eastAsia="仿宋" w:cs="仿宋"/>
          <w:i w:val="0"/>
          <w:iCs w:val="0"/>
          <w:caps w:val="0"/>
          <w:color w:val="1B1C21"/>
          <w:spacing w:val="5"/>
          <w:sz w:val="24"/>
          <w:szCs w:val="24"/>
          <w:shd w:val="clear" w:fill="FFFFFF"/>
        </w:rPr>
        <w:t>爵士乐（Jazz）起源于20世纪初美国新奥尔良，其核心理念是</w:t>
      </w:r>
      <w:r>
        <w:rPr>
          <w:rStyle w:val="10"/>
          <w:rFonts w:hint="eastAsia" w:ascii="仿宋" w:hAnsi="仿宋" w:eastAsia="仿宋" w:cs="仿宋"/>
          <w:b/>
          <w:bCs/>
          <w:i w:val="0"/>
          <w:iCs w:val="0"/>
          <w:caps w:val="0"/>
          <w:color w:val="1B1C21"/>
          <w:spacing w:val="5"/>
          <w:sz w:val="24"/>
          <w:szCs w:val="24"/>
          <w:shd w:val="clear" w:fill="FFFFFF"/>
        </w:rPr>
        <w:t>即兴创作</w:t>
      </w:r>
      <w:r>
        <w:rPr>
          <w:rFonts w:hint="eastAsia" w:ascii="仿宋" w:hAnsi="仿宋" w:eastAsia="仿宋" w:cs="仿宋"/>
          <w:i w:val="0"/>
          <w:iCs w:val="0"/>
          <w:caps w:val="0"/>
          <w:color w:val="1B1C21"/>
          <w:spacing w:val="5"/>
          <w:sz w:val="24"/>
          <w:szCs w:val="24"/>
          <w:shd w:val="clear" w:fill="FFFFFF"/>
        </w:rPr>
        <w:t>与</w:t>
      </w:r>
      <w:r>
        <w:rPr>
          <w:rStyle w:val="10"/>
          <w:rFonts w:hint="eastAsia" w:ascii="仿宋" w:hAnsi="仿宋" w:eastAsia="仿宋" w:cs="仿宋"/>
          <w:b/>
          <w:bCs/>
          <w:i w:val="0"/>
          <w:iCs w:val="0"/>
          <w:caps w:val="0"/>
          <w:color w:val="1B1C21"/>
          <w:spacing w:val="5"/>
          <w:sz w:val="24"/>
          <w:szCs w:val="24"/>
          <w:shd w:val="clear" w:fill="FFFFFF"/>
        </w:rPr>
        <w:t>节奏复杂性</w:t>
      </w:r>
      <w:r>
        <w:rPr>
          <w:rFonts w:hint="eastAsia" w:ascii="仿宋" w:hAnsi="仿宋" w:eastAsia="仿宋" w:cs="仿宋"/>
          <w:i w:val="0"/>
          <w:iCs w:val="0"/>
          <w:caps w:val="0"/>
          <w:color w:val="1B1C21"/>
          <w:spacing w:val="5"/>
          <w:sz w:val="24"/>
          <w:szCs w:val="24"/>
          <w:shd w:val="clear" w:fill="FFFFFF"/>
        </w:rPr>
        <w:t>，本质是对欧洲音乐体系的解构与重建。</w:t>
      </w:r>
    </w:p>
    <w:p w14:paraId="3A6F351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仿宋" w:hAnsi="仿宋" w:eastAsia="仿宋" w:cs="仿宋"/>
          <w:sz w:val="24"/>
          <w:szCs w:val="24"/>
        </w:rPr>
      </w:pPr>
      <w:r>
        <w:rPr>
          <w:rStyle w:val="10"/>
          <w:rFonts w:hint="eastAsia" w:ascii="仿宋" w:hAnsi="仿宋" w:eastAsia="仿宋" w:cs="仿宋"/>
          <w:b/>
          <w:bCs/>
          <w:i w:val="0"/>
          <w:iCs w:val="0"/>
          <w:caps w:val="0"/>
          <w:color w:val="1B1C21"/>
          <w:sz w:val="24"/>
          <w:szCs w:val="24"/>
          <w:shd w:val="clear" w:fill="FFFFFF"/>
        </w:rPr>
        <w:t>技术特征</w:t>
      </w:r>
      <w:r>
        <w:rPr>
          <w:rFonts w:hint="eastAsia" w:ascii="仿宋" w:hAnsi="仿宋" w:eastAsia="仿宋" w:cs="仿宋"/>
          <w:i w:val="0"/>
          <w:iCs w:val="0"/>
          <w:caps w:val="0"/>
          <w:color w:val="1B1C21"/>
          <w:sz w:val="24"/>
          <w:szCs w:val="24"/>
          <w:shd w:val="clear" w:fill="FFFFFF"/>
        </w:rPr>
        <w:t>：路易斯·阿姆斯特朗通过小号即兴中的颤音、滑音技术，将个体情感注入集体演奏，形成“独奏—伴奏”的对话模式；查理·帕克（Charlie Parker）的博普（Bebop）风格以快速和声转换重构爵士语言，推动技术边界。</w:t>
      </w:r>
    </w:p>
    <w:p w14:paraId="7DBA5665">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仿宋" w:hAnsi="仿宋" w:eastAsia="仿宋" w:cs="仿宋"/>
          <w:i w:val="0"/>
          <w:iCs w:val="0"/>
          <w:caps w:val="0"/>
          <w:color w:val="CCCCCC"/>
          <w:spacing w:val="5"/>
          <w:sz w:val="24"/>
          <w:szCs w:val="24"/>
        </w:rPr>
      </w:pPr>
      <w:r>
        <w:rPr>
          <w:rStyle w:val="10"/>
          <w:rFonts w:hint="eastAsia" w:ascii="仿宋" w:hAnsi="仿宋" w:eastAsia="仿宋" w:cs="仿宋"/>
          <w:b/>
          <w:bCs/>
          <w:i w:val="0"/>
          <w:iCs w:val="0"/>
          <w:caps w:val="0"/>
          <w:color w:val="1B1C21"/>
          <w:sz w:val="24"/>
          <w:szCs w:val="24"/>
          <w:shd w:val="clear" w:fill="FFFFFF"/>
        </w:rPr>
        <w:t>文化意义</w:t>
      </w:r>
      <w:r>
        <w:rPr>
          <w:rFonts w:hint="eastAsia" w:ascii="仿宋" w:hAnsi="仿宋" w:eastAsia="仿宋" w:cs="仿宋"/>
          <w:i w:val="0"/>
          <w:iCs w:val="0"/>
          <w:caps w:val="0"/>
          <w:color w:val="1B1C21"/>
          <w:sz w:val="24"/>
          <w:szCs w:val="24"/>
          <w:shd w:val="clear" w:fill="FFFFFF"/>
        </w:rPr>
        <w:t>：爵士乐的杂交性（非洲节奏传统+欧洲和声体系+美洲本土文化）使其成为“文化熔炉”的象征。比莉·哈乐黛（Billie Holiday）的《Strange Fruit》更以隐喻歌词揭露种族压迫，将音乐转化为社会批判工具。</w:t>
      </w:r>
    </w:p>
    <w:p w14:paraId="5AC5A17C">
      <w:pPr>
        <w:pStyle w:val="3"/>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Style w:val="10"/>
          <w:rFonts w:hint="eastAsia" w:ascii="仿宋" w:hAnsi="仿宋" w:eastAsia="仿宋" w:cs="仿宋"/>
          <w:b/>
          <w:bCs/>
          <w:i w:val="0"/>
          <w:iCs w:val="0"/>
          <w:caps w:val="0"/>
          <w:spacing w:val="5"/>
          <w:sz w:val="24"/>
          <w:szCs w:val="24"/>
          <w:shd w:val="clear" w:fill="FFFFFF"/>
        </w:rPr>
        <w:t>二、音乐评论与审美评价：多维标准的建立</w:t>
      </w:r>
    </w:p>
    <w:p w14:paraId="2B362386">
      <w:pPr>
        <w:pStyle w:val="4"/>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Fonts w:hint="eastAsia" w:ascii="仿宋" w:hAnsi="仿宋" w:eastAsia="仿宋" w:cs="仿宋"/>
          <w:b/>
          <w:bCs/>
          <w:i w:val="0"/>
          <w:iCs w:val="0"/>
          <w:caps w:val="0"/>
          <w:spacing w:val="5"/>
          <w:sz w:val="24"/>
          <w:szCs w:val="24"/>
          <w:shd w:val="clear" w:fill="FFFFFF"/>
        </w:rPr>
        <w:t>2.1 经典作品的永恒价值：贝多芬《第九交响曲》的启示</w:t>
      </w:r>
    </w:p>
    <w:p w14:paraId="6B8B413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仿宋" w:hAnsi="仿宋" w:eastAsia="仿宋" w:cs="仿宋"/>
          <w:i w:val="0"/>
          <w:iCs w:val="0"/>
          <w:caps w:val="0"/>
          <w:color w:val="1B1C21"/>
          <w:spacing w:val="5"/>
          <w:sz w:val="24"/>
          <w:szCs w:val="24"/>
        </w:rPr>
      </w:pPr>
      <w:r>
        <w:rPr>
          <w:rFonts w:hint="eastAsia" w:ascii="仿宋" w:hAnsi="仿宋" w:eastAsia="仿宋" w:cs="仿宋"/>
          <w:i w:val="0"/>
          <w:iCs w:val="0"/>
          <w:caps w:val="0"/>
          <w:color w:val="1B1C21"/>
          <w:spacing w:val="5"/>
          <w:sz w:val="24"/>
          <w:szCs w:val="24"/>
          <w:shd w:val="clear" w:fill="FFFFFF"/>
        </w:rPr>
        <w:t>贝多芬《第九交响曲》的艺术价值体现在三方面：</w:t>
      </w:r>
    </w:p>
    <w:p w14:paraId="2C33F1F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仿宋" w:hAnsi="仿宋" w:eastAsia="仿宋" w:cs="仿宋"/>
          <w:sz w:val="24"/>
          <w:szCs w:val="24"/>
        </w:rPr>
      </w:pPr>
      <w:r>
        <w:rPr>
          <w:rStyle w:val="10"/>
          <w:rFonts w:hint="eastAsia" w:ascii="仿宋" w:hAnsi="仿宋" w:eastAsia="仿宋" w:cs="仿宋"/>
          <w:b/>
          <w:bCs/>
          <w:i w:val="0"/>
          <w:iCs w:val="0"/>
          <w:caps w:val="0"/>
          <w:color w:val="1B1C21"/>
          <w:spacing w:val="5"/>
          <w:sz w:val="24"/>
          <w:szCs w:val="24"/>
          <w:shd w:val="clear" w:fill="FFFFFF"/>
        </w:rPr>
        <w:t>技术突破</w:t>
      </w:r>
      <w:r>
        <w:rPr>
          <w:rFonts w:hint="eastAsia" w:ascii="仿宋" w:hAnsi="仿宋" w:eastAsia="仿宋" w:cs="仿宋"/>
          <w:i w:val="0"/>
          <w:iCs w:val="0"/>
          <w:caps w:val="0"/>
          <w:color w:val="1B1C21"/>
          <w:spacing w:val="5"/>
          <w:sz w:val="24"/>
          <w:szCs w:val="24"/>
          <w:shd w:val="clear" w:fill="FFFFFF"/>
        </w:rPr>
        <w:t>：D小调首次用于交响曲并完成调性回归，赋格段复调技法登峰造极；</w:t>
      </w:r>
    </w:p>
    <w:p w14:paraId="71B6FF3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仿宋" w:hAnsi="仿宋" w:eastAsia="仿宋" w:cs="仿宋"/>
          <w:sz w:val="24"/>
          <w:szCs w:val="24"/>
        </w:rPr>
      </w:pPr>
      <w:r>
        <w:rPr>
          <w:rStyle w:val="10"/>
          <w:rFonts w:hint="eastAsia" w:ascii="仿宋" w:hAnsi="仿宋" w:eastAsia="仿宋" w:cs="仿宋"/>
          <w:b/>
          <w:bCs/>
          <w:i w:val="0"/>
          <w:iCs w:val="0"/>
          <w:caps w:val="0"/>
          <w:color w:val="1B1C21"/>
          <w:spacing w:val="5"/>
          <w:sz w:val="24"/>
          <w:szCs w:val="24"/>
          <w:shd w:val="clear" w:fill="FFFFFF"/>
        </w:rPr>
        <w:t>人文精神</w:t>
      </w:r>
      <w:r>
        <w:rPr>
          <w:rFonts w:hint="eastAsia" w:ascii="仿宋" w:hAnsi="仿宋" w:eastAsia="仿宋" w:cs="仿宋"/>
          <w:i w:val="0"/>
          <w:iCs w:val="0"/>
          <w:caps w:val="0"/>
          <w:color w:val="1B1C21"/>
          <w:spacing w:val="5"/>
          <w:sz w:val="24"/>
          <w:szCs w:val="24"/>
          <w:shd w:val="clear" w:fill="FFFFFF"/>
        </w:rPr>
        <w:t>：席勒诗歌的融入使其超越宫廷娱乐，成为自由平等的宣言；</w:t>
      </w:r>
    </w:p>
    <w:p w14:paraId="3B715E9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rPr>
          <w:rFonts w:hint="eastAsia" w:ascii="仿宋" w:hAnsi="仿宋" w:eastAsia="仿宋" w:cs="仿宋"/>
          <w:sz w:val="24"/>
          <w:szCs w:val="24"/>
        </w:rPr>
      </w:pPr>
      <w:r>
        <w:rPr>
          <w:rStyle w:val="10"/>
          <w:rFonts w:hint="eastAsia" w:ascii="仿宋" w:hAnsi="仿宋" w:eastAsia="仿宋" w:cs="仿宋"/>
          <w:b/>
          <w:bCs/>
          <w:i w:val="0"/>
          <w:iCs w:val="0"/>
          <w:caps w:val="0"/>
          <w:color w:val="1B1C21"/>
          <w:spacing w:val="5"/>
          <w:sz w:val="24"/>
          <w:szCs w:val="24"/>
          <w:shd w:val="clear" w:fill="FFFFFF"/>
        </w:rPr>
        <w:t>影响力</w:t>
      </w:r>
      <w:r>
        <w:rPr>
          <w:rFonts w:hint="eastAsia" w:ascii="仿宋" w:hAnsi="仿宋" w:eastAsia="仿宋" w:cs="仿宋"/>
          <w:i w:val="0"/>
          <w:iCs w:val="0"/>
          <w:caps w:val="0"/>
          <w:color w:val="1B1C21"/>
          <w:spacing w:val="5"/>
          <w:sz w:val="24"/>
          <w:szCs w:val="24"/>
          <w:shd w:val="clear" w:fill="FFFFFF"/>
        </w:rPr>
        <w:t>：末乐章《欢乐颂》被改编为《欧盟盟歌》，印证其跨时代共鸣。</w:t>
      </w:r>
      <w:r>
        <w:rPr>
          <w:rFonts w:hint="eastAsia" w:ascii="仿宋" w:hAnsi="仿宋" w:eastAsia="仿宋" w:cs="仿宋"/>
          <w:i w:val="0"/>
          <w:iCs w:val="0"/>
          <w:caps w:val="0"/>
          <w:color w:val="1B1C21"/>
          <w:spacing w:val="5"/>
          <w:sz w:val="24"/>
          <w:szCs w:val="24"/>
          <w:shd w:val="clear" w:fill="FFFFFF"/>
        </w:rPr>
        <w:br w:type="textWrapping"/>
      </w:r>
      <w:r>
        <w:rPr>
          <w:rFonts w:hint="eastAsia" w:ascii="仿宋" w:hAnsi="仿宋" w:eastAsia="仿宋" w:cs="仿宋"/>
          <w:i w:val="0"/>
          <w:iCs w:val="0"/>
          <w:caps w:val="0"/>
          <w:color w:val="1B1C21"/>
          <w:spacing w:val="5"/>
          <w:sz w:val="24"/>
          <w:szCs w:val="24"/>
          <w:shd w:val="clear" w:fill="FFFFFF"/>
        </w:rPr>
        <w:t>罗曼·罗兰评价其为“音乐中的人道主义圣经”，正因其形式与内容的完美统一。</w:t>
      </w:r>
    </w:p>
    <w:p w14:paraId="0189E5A4">
      <w:pPr>
        <w:pStyle w:val="4"/>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Fonts w:hint="eastAsia" w:ascii="仿宋" w:hAnsi="仿宋" w:eastAsia="仿宋" w:cs="仿宋"/>
          <w:b/>
          <w:bCs/>
          <w:i w:val="0"/>
          <w:iCs w:val="0"/>
          <w:caps w:val="0"/>
          <w:spacing w:val="5"/>
          <w:sz w:val="24"/>
          <w:szCs w:val="24"/>
          <w:shd w:val="clear" w:fill="FFFFFF"/>
        </w:rPr>
        <w:t>2.2 流行音乐的工业美学：迈克尔·杰克逊《Thriller》的争议</w:t>
      </w:r>
    </w:p>
    <w:p w14:paraId="2DBCE79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仿宋" w:hAnsi="仿宋" w:eastAsia="仿宋" w:cs="仿宋"/>
          <w:i w:val="0"/>
          <w:iCs w:val="0"/>
          <w:caps w:val="0"/>
          <w:color w:val="1B1C21"/>
          <w:spacing w:val="5"/>
          <w:sz w:val="24"/>
          <w:szCs w:val="24"/>
        </w:rPr>
      </w:pPr>
      <w:r>
        <w:rPr>
          <w:rFonts w:hint="eastAsia" w:ascii="仿宋" w:hAnsi="仿宋" w:eastAsia="仿宋" w:cs="仿宋"/>
          <w:i w:val="0"/>
          <w:iCs w:val="0"/>
          <w:caps w:val="0"/>
          <w:color w:val="1B1C21"/>
          <w:spacing w:val="5"/>
          <w:sz w:val="24"/>
          <w:szCs w:val="24"/>
          <w:shd w:val="clear" w:fill="FFFFFF"/>
        </w:rPr>
        <w:t>《Thriller》以合成器音效、精准节奏切割（如“ooh ooh”喘息声）与病毒式MV开创流行音乐新范式。其制作团队（昆西·琼斯）将放克节奏与电子音色结合，配合跨种族舞蹈编排，塑造全球化时代的文化符号。尽管被批评为“过度商业化”，但其技术整合与传播策略重塑了流行音乐的定义，证明艺术性与传播性可兼得。</w:t>
      </w:r>
    </w:p>
    <w:p w14:paraId="0F3F3200">
      <w:pPr>
        <w:pStyle w:val="4"/>
        <w:keepNext w:val="0"/>
        <w:keepLines w:val="0"/>
        <w:widowControl/>
        <w:suppressLineNumbers w:val="0"/>
        <w:shd w:val="clear" w:fill="FFFFFF"/>
        <w:ind w:left="0" w:firstLine="0"/>
        <w:jc w:val="left"/>
        <w:rPr>
          <w:rFonts w:hint="eastAsia" w:ascii="仿宋" w:hAnsi="仿宋" w:eastAsia="仿宋" w:cs="仿宋"/>
          <w:b/>
          <w:bCs/>
          <w:i w:val="0"/>
          <w:iCs w:val="0"/>
          <w:caps w:val="0"/>
          <w:spacing w:val="5"/>
          <w:sz w:val="24"/>
          <w:szCs w:val="24"/>
        </w:rPr>
      </w:pPr>
      <w:r>
        <w:rPr>
          <w:rFonts w:hint="eastAsia" w:ascii="仿宋" w:hAnsi="仿宋" w:eastAsia="仿宋" w:cs="仿宋"/>
          <w:b/>
          <w:bCs/>
          <w:i w:val="0"/>
          <w:iCs w:val="0"/>
          <w:caps w:val="0"/>
          <w:spacing w:val="5"/>
          <w:sz w:val="24"/>
          <w:szCs w:val="24"/>
          <w:shd w:val="clear" w:fill="FFFFFF"/>
        </w:rPr>
        <w:t>2.3 批评方法的科学路径：从技术分析到语境考量</w:t>
      </w:r>
    </w:p>
    <w:p w14:paraId="7087BF1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仿宋" w:hAnsi="仿宋" w:eastAsia="仿宋" w:cs="仿宋"/>
          <w:i w:val="0"/>
          <w:iCs w:val="0"/>
          <w:caps w:val="0"/>
          <w:color w:val="1B1C21"/>
          <w:spacing w:val="5"/>
          <w:sz w:val="24"/>
          <w:szCs w:val="24"/>
        </w:rPr>
      </w:pPr>
      <w:r>
        <w:rPr>
          <w:rFonts w:hint="eastAsia" w:ascii="仿宋" w:hAnsi="仿宋" w:eastAsia="仿宋" w:cs="仿宋"/>
          <w:i w:val="0"/>
          <w:iCs w:val="0"/>
          <w:caps w:val="0"/>
          <w:color w:val="1B1C21"/>
          <w:spacing w:val="5"/>
          <w:sz w:val="24"/>
          <w:szCs w:val="24"/>
          <w:shd w:val="clear" w:fill="FFFFFF"/>
        </w:rPr>
        <w:t>科学的音乐批评需遵循三步：</w:t>
      </w:r>
    </w:p>
    <w:p w14:paraId="774224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leftChars="0" w:right="0" w:rightChars="0" w:hanging="360" w:firstLineChars="0"/>
        <w:jc w:val="left"/>
        <w:rPr>
          <w:rFonts w:hint="eastAsia" w:ascii="仿宋" w:hAnsi="仿宋" w:eastAsia="仿宋" w:cs="仿宋"/>
          <w:sz w:val="24"/>
          <w:szCs w:val="24"/>
        </w:rPr>
      </w:pPr>
      <w:r>
        <w:rPr>
          <w:rFonts w:hint="eastAsia" w:ascii="仿宋" w:hAnsi="仿宋" w:eastAsia="仿宋" w:cs="仿宋"/>
          <w:kern w:val="2"/>
          <w:sz w:val="24"/>
          <w:szCs w:val="24"/>
          <w:lang w:val="en-US" w:eastAsia="zh-CN" w:bidi="ar-SA"/>
          <w14:ligatures w14:val="standardContextual"/>
        </w:rPr>
        <w:t>1.</w:t>
      </w:r>
      <w:r>
        <w:rPr>
          <w:rStyle w:val="10"/>
          <w:rFonts w:hint="eastAsia" w:ascii="仿宋" w:hAnsi="仿宋" w:eastAsia="仿宋" w:cs="仿宋"/>
          <w:b/>
          <w:bCs/>
          <w:i w:val="0"/>
          <w:iCs w:val="0"/>
          <w:caps w:val="0"/>
          <w:color w:val="1B1C21"/>
          <w:spacing w:val="5"/>
          <w:sz w:val="24"/>
          <w:szCs w:val="24"/>
          <w:shd w:val="clear" w:fill="FFFFFF"/>
        </w:rPr>
        <w:t>技术拆解</w:t>
      </w:r>
      <w:r>
        <w:rPr>
          <w:rFonts w:hint="eastAsia" w:ascii="仿宋" w:hAnsi="仿宋" w:eastAsia="仿宋" w:cs="仿宋"/>
          <w:i w:val="0"/>
          <w:iCs w:val="0"/>
          <w:caps w:val="0"/>
          <w:color w:val="1B1C21"/>
          <w:spacing w:val="5"/>
          <w:sz w:val="24"/>
          <w:szCs w:val="24"/>
          <w:shd w:val="clear" w:fill="FFFFFF"/>
        </w:rPr>
        <w:t>：分析作品的和声、节奏、配器等要素（如《第九交响曲》的赋格段结构）；</w:t>
      </w:r>
    </w:p>
    <w:p w14:paraId="19950E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leftChars="0" w:right="0" w:rightChars="0" w:hanging="360" w:firstLineChars="0"/>
        <w:jc w:val="left"/>
        <w:rPr>
          <w:rFonts w:hint="eastAsia" w:ascii="仿宋" w:hAnsi="仿宋" w:eastAsia="仿宋" w:cs="仿宋"/>
          <w:sz w:val="24"/>
          <w:szCs w:val="24"/>
        </w:rPr>
      </w:pPr>
      <w:r>
        <w:rPr>
          <w:rFonts w:hint="eastAsia" w:ascii="仿宋" w:hAnsi="仿宋" w:eastAsia="仿宋" w:cs="仿宋"/>
          <w:kern w:val="2"/>
          <w:sz w:val="24"/>
          <w:szCs w:val="24"/>
          <w:lang w:val="en-US" w:eastAsia="zh-CN" w:bidi="ar-SA"/>
          <w14:ligatures w14:val="standardContextual"/>
        </w:rPr>
        <w:t>2.</w:t>
      </w:r>
      <w:r>
        <w:rPr>
          <w:rStyle w:val="10"/>
          <w:rFonts w:hint="eastAsia" w:ascii="仿宋" w:hAnsi="仿宋" w:eastAsia="仿宋" w:cs="仿宋"/>
          <w:b/>
          <w:bCs/>
          <w:i w:val="0"/>
          <w:iCs w:val="0"/>
          <w:caps w:val="0"/>
          <w:color w:val="1B1C21"/>
          <w:spacing w:val="5"/>
          <w:sz w:val="24"/>
          <w:szCs w:val="24"/>
          <w:shd w:val="clear" w:fill="FFFFFF"/>
        </w:rPr>
        <w:t>语境关联</w:t>
      </w:r>
      <w:r>
        <w:rPr>
          <w:rFonts w:hint="eastAsia" w:ascii="仿宋" w:hAnsi="仿宋" w:eastAsia="仿宋" w:cs="仿宋"/>
          <w:i w:val="0"/>
          <w:iCs w:val="0"/>
          <w:caps w:val="0"/>
          <w:color w:val="1B1C21"/>
          <w:spacing w:val="5"/>
          <w:sz w:val="24"/>
          <w:szCs w:val="24"/>
          <w:shd w:val="clear" w:fill="FFFFFF"/>
        </w:rPr>
        <w:t>：结合音乐家生平与时代背景（如贝多芬失聪后的创作转向）；</w:t>
      </w:r>
    </w:p>
    <w:p w14:paraId="26A0D8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leftChars="0" w:right="0" w:rightChars="0" w:hanging="360" w:firstLineChars="0"/>
        <w:jc w:val="left"/>
        <w:rPr>
          <w:rFonts w:hint="default" w:ascii="PingFang SC-Regular" w:hAnsi="PingFang SC-Regular" w:eastAsia="PingFang SC-Regular" w:cs="PingFang SC-Regular"/>
          <w:i w:val="0"/>
          <w:iCs w:val="0"/>
          <w:caps w:val="0"/>
          <w:color w:val="CCCCCC"/>
          <w:spacing w:val="5"/>
          <w:sz w:val="15"/>
          <w:szCs w:val="15"/>
        </w:rPr>
      </w:pPr>
      <w:r>
        <w:rPr>
          <w:rStyle w:val="10"/>
          <w:rFonts w:hint="eastAsia" w:ascii="仿宋" w:hAnsi="仿宋" w:eastAsia="仿宋" w:cs="仿宋"/>
          <w:b/>
          <w:bCs/>
          <w:i w:val="0"/>
          <w:iCs w:val="0"/>
          <w:caps w:val="0"/>
          <w:color w:val="1B1C21"/>
          <w:spacing w:val="5"/>
          <w:sz w:val="24"/>
          <w:szCs w:val="24"/>
          <w:shd w:val="clear" w:fill="FFFFFF"/>
          <w:lang w:val="en-US" w:eastAsia="zh-CN"/>
        </w:rPr>
        <w:t>3.</w:t>
      </w:r>
      <w:r>
        <w:rPr>
          <w:rStyle w:val="10"/>
          <w:rFonts w:hint="eastAsia" w:ascii="仿宋" w:hAnsi="仿宋" w:eastAsia="仿宋" w:cs="仿宋"/>
          <w:b/>
          <w:bCs/>
          <w:i w:val="0"/>
          <w:iCs w:val="0"/>
          <w:caps w:val="0"/>
          <w:color w:val="1B1C21"/>
          <w:spacing w:val="5"/>
          <w:sz w:val="24"/>
          <w:szCs w:val="24"/>
          <w:shd w:val="clear" w:fill="FFFFFF"/>
        </w:rPr>
        <w:t>价值评估</w:t>
      </w:r>
      <w:r>
        <w:rPr>
          <w:rFonts w:hint="eastAsia" w:ascii="仿宋" w:hAnsi="仿宋" w:eastAsia="仿宋" w:cs="仿宋"/>
          <w:i w:val="0"/>
          <w:iCs w:val="0"/>
          <w:caps w:val="0"/>
          <w:color w:val="1B1C21"/>
          <w:spacing w:val="5"/>
          <w:sz w:val="24"/>
          <w:szCs w:val="24"/>
          <w:shd w:val="clear" w:fill="FFFFFF"/>
        </w:rPr>
        <w:t>：衡量创新性（如爵士乐对传统和声的突破）、情感冲击力及文化影响力。唯有多维审视，方能避免“阳春白雪”与“下里巴人”的片面对立。</w:t>
      </w:r>
    </w:p>
    <w:p w14:paraId="7C4958B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PingFang SC-Regular" w:hAnsi="PingFang SC-Regular" w:eastAsia="PingFang SC-Regular" w:cs="PingFang SC-Regular"/>
          <w:i w:val="0"/>
          <w:iCs w:val="0"/>
          <w:caps w:val="0"/>
          <w:color w:val="CCCCCC"/>
          <w:spacing w:val="5"/>
          <w:sz w:val="15"/>
          <w:szCs w:val="15"/>
        </w:rPr>
      </w:pPr>
    </w:p>
    <w:p w14:paraId="4C0261A9">
      <w:pPr>
        <w:pStyle w:val="3"/>
        <w:keepNext w:val="0"/>
        <w:keepLines w:val="0"/>
        <w:widowControl/>
        <w:suppressLineNumbers w:val="0"/>
        <w:shd w:val="clear" w:fill="FFFFFF"/>
        <w:ind w:left="0" w:firstLine="0"/>
        <w:jc w:val="left"/>
        <w:rPr>
          <w:rFonts w:hint="default" w:ascii="PingFang SC-Regular" w:hAnsi="PingFang SC-Regular" w:eastAsia="PingFang SC-Regular" w:cs="PingFang SC-Regular"/>
          <w:b/>
          <w:bCs/>
          <w:i w:val="0"/>
          <w:iCs w:val="0"/>
          <w:caps w:val="0"/>
          <w:spacing w:val="5"/>
        </w:rPr>
      </w:pPr>
      <w:r>
        <w:rPr>
          <w:rStyle w:val="10"/>
          <w:rFonts w:hint="default" w:ascii="PingFang SC-Regular" w:hAnsi="PingFang SC-Regular" w:eastAsia="PingFang SC-Regular" w:cs="PingFang SC-Regular"/>
          <w:b/>
          <w:bCs/>
          <w:i w:val="0"/>
          <w:iCs w:val="0"/>
          <w:caps w:val="0"/>
          <w:spacing w:val="5"/>
          <w:shd w:val="clear" w:fill="FFFFFF"/>
        </w:rPr>
        <w:t>参考文献</w:t>
      </w:r>
    </w:p>
    <w:p w14:paraId="5FE54FB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pPr>
      <w:r>
        <w:rPr>
          <w:rFonts w:hint="default" w:ascii="PingFang SC-Regular" w:hAnsi="PingFang SC-Regular" w:eastAsia="PingFang SC-Regular" w:cs="PingFang SC-Regular"/>
          <w:i w:val="0"/>
          <w:iCs w:val="0"/>
          <w:caps w:val="0"/>
          <w:color w:val="1B1C21"/>
          <w:spacing w:val="5"/>
          <w:shd w:val="clear" w:fill="FFFFFF"/>
        </w:rPr>
        <w:t>保罗·约翰逊. 《聆听古典音乐》. 海南出版社, 2020.</w:t>
      </w:r>
    </w:p>
    <w:p w14:paraId="3B5EEBE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pPr>
      <w:r>
        <w:rPr>
          <w:rFonts w:hint="default" w:ascii="PingFang SC-Regular" w:hAnsi="PingFang SC-Regular" w:eastAsia="PingFang SC-Regular" w:cs="PingFang SC-Regular"/>
          <w:i w:val="0"/>
          <w:iCs w:val="0"/>
          <w:caps w:val="0"/>
          <w:color w:val="1B1C21"/>
          <w:spacing w:val="5"/>
          <w:shd w:val="clear" w:fill="FFFFFF"/>
        </w:rPr>
        <w:t>布鲁斯·约翰逊. 《爵士百年》. 人民音乐出版社, 2018.</w:t>
      </w:r>
    </w:p>
    <w:p w14:paraId="23AC7CE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pPr>
      <w:r>
        <w:rPr>
          <w:rFonts w:hint="default" w:ascii="PingFang SC-Regular" w:hAnsi="PingFang SC-Regular" w:eastAsia="PingFang SC-Regular" w:cs="PingFang SC-Regular"/>
          <w:i w:val="0"/>
          <w:iCs w:val="0"/>
          <w:caps w:val="0"/>
          <w:color w:val="1B1C21"/>
          <w:spacing w:val="5"/>
          <w:shd w:val="clear" w:fill="FFFFFF"/>
        </w:rPr>
        <w:t>约瑟夫·克尔曼. 《音乐会话》. 华东师范大学出版社, 2017.</w:t>
      </w:r>
    </w:p>
    <w:p w14:paraId="35DFBAE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pPr>
      <w:r>
        <w:rPr>
          <w:rFonts w:hint="default" w:ascii="PingFang SC-Regular" w:hAnsi="PingFang SC-Regular" w:eastAsia="PingFang SC-Regular" w:cs="PingFang SC-Regular"/>
          <w:i w:val="0"/>
          <w:iCs w:val="0"/>
          <w:caps w:val="0"/>
          <w:color w:val="1B1C21"/>
          <w:spacing w:val="5"/>
          <w:shd w:val="clear" w:fill="FFFFFF"/>
        </w:rPr>
        <w:t>特里·伊格尔顿. 《音乐与社会》. 南京大学出版社, 2021.</w:t>
      </w:r>
    </w:p>
    <w:p w14:paraId="374FD61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0" w:hanging="360"/>
        <w:jc w:val="left"/>
      </w:pPr>
      <w:r>
        <w:rPr>
          <w:rFonts w:hint="default" w:ascii="PingFang SC-Regular" w:hAnsi="PingFang SC-Regular" w:eastAsia="PingFang SC-Regular" w:cs="PingFang SC-Regular"/>
          <w:i w:val="0"/>
          <w:iCs w:val="0"/>
          <w:caps w:val="0"/>
          <w:color w:val="1B1C21"/>
          <w:spacing w:val="5"/>
          <w:shd w:val="clear" w:fill="FFFFFF"/>
        </w:rPr>
        <w:t>Richard Widdess. 《The Oxford Handbook of Opera》. Oxford University Press, 2018.</w:t>
      </w:r>
    </w:p>
    <w:p w14:paraId="5A4D53AF"/>
    <w:p w14:paraId="150E75CA"/>
    <w:p w14:paraId="0D0DD5A7"/>
    <w:p w14:paraId="1905A9AA"/>
    <w:p w14:paraId="0FE1ACF9"/>
    <w:p w14:paraId="1B4CB1D0"/>
    <w:p w14:paraId="043B7A52"/>
    <w:p w14:paraId="18F1A3FD">
      <w:pPr>
        <w:jc w:val="right"/>
        <w:rPr>
          <w:rFonts w:hint="eastAsia"/>
          <w:lang w:val="en-US" w:eastAsia="zh-CN"/>
        </w:rPr>
      </w:pPr>
      <w:r>
        <w:rPr>
          <w:rFonts w:hint="eastAsia"/>
          <w:lang w:val="en-US" w:eastAsia="zh-CN"/>
        </w:rPr>
        <w:t>学院：信息科学技术学院</w:t>
      </w:r>
    </w:p>
    <w:p w14:paraId="0FA67FA8">
      <w:pPr>
        <w:jc w:val="right"/>
        <w:rPr>
          <w:rFonts w:hint="eastAsia"/>
          <w:lang w:val="en-US" w:eastAsia="zh-CN"/>
        </w:rPr>
      </w:pPr>
      <w:r>
        <w:rPr>
          <w:rFonts w:hint="eastAsia"/>
          <w:lang w:val="en-US" w:eastAsia="zh-CN"/>
        </w:rPr>
        <w:t>班级：20508012班</w:t>
      </w:r>
    </w:p>
    <w:p w14:paraId="1F212120">
      <w:pPr>
        <w:jc w:val="right"/>
        <w:rPr>
          <w:rFonts w:hint="eastAsia"/>
          <w:lang w:val="en-US" w:eastAsia="zh-CN"/>
        </w:rPr>
      </w:pPr>
      <w:r>
        <w:rPr>
          <w:rFonts w:hint="eastAsia"/>
          <w:lang w:val="en-US" w:eastAsia="zh-CN"/>
        </w:rPr>
        <w:t>学号：</w:t>
      </w:r>
      <w:bookmarkStart w:id="1" w:name="_GoBack"/>
      <w:bookmarkEnd w:id="1"/>
    </w:p>
    <w:p w14:paraId="738468D3">
      <w:pPr>
        <w:jc w:val="right"/>
        <w:rPr>
          <w:rFonts w:hint="default"/>
          <w:lang w:val="en-US" w:eastAsia="zh-CN"/>
        </w:rPr>
      </w:pPr>
      <w:r>
        <w:rPr>
          <w:rFonts w:hint="eastAsia"/>
          <w:lang w:val="en-US" w:eastAsia="zh-CN"/>
        </w:rPr>
        <w:t>姓名：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方正姚体">
    <w:panose1 w:val="02010601030101010101"/>
    <w:charset w:val="86"/>
    <w:family w:val="auto"/>
    <w:pitch w:val="default"/>
    <w:sig w:usb0="00000003" w:usb1="080E0000" w:usb2="00000000" w:usb3="00000000" w:csb0="00040000" w:csb1="00000000"/>
  </w:font>
  <w:font w:name="PingFang 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BFF43"/>
    <w:multiLevelType w:val="multilevel"/>
    <w:tmpl w:val="EA4BFF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24D8BC9"/>
    <w:multiLevelType w:val="multilevel"/>
    <w:tmpl w:val="F24D8B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440D6D61"/>
    <w:multiLevelType w:val="multilevel"/>
    <w:tmpl w:val="440D6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3F08033"/>
    <w:multiLevelType w:val="multilevel"/>
    <w:tmpl w:val="73F080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I2ODNjMTEyMTFhODBjYzM1NTgzZDc3NjczZjdkNDkifQ=="/>
  </w:docVars>
  <w:rsids>
    <w:rsidRoot w:val="00B22618"/>
    <w:rsid w:val="000B3F66"/>
    <w:rsid w:val="0012532F"/>
    <w:rsid w:val="00131087"/>
    <w:rsid w:val="002226EF"/>
    <w:rsid w:val="002A5BC5"/>
    <w:rsid w:val="002B0A74"/>
    <w:rsid w:val="002E1600"/>
    <w:rsid w:val="003028C0"/>
    <w:rsid w:val="003F6841"/>
    <w:rsid w:val="0040368B"/>
    <w:rsid w:val="00486202"/>
    <w:rsid w:val="005817DC"/>
    <w:rsid w:val="005F051D"/>
    <w:rsid w:val="006761F8"/>
    <w:rsid w:val="00682008"/>
    <w:rsid w:val="0069702C"/>
    <w:rsid w:val="00697FCA"/>
    <w:rsid w:val="006A485B"/>
    <w:rsid w:val="00807C17"/>
    <w:rsid w:val="00833221"/>
    <w:rsid w:val="00866188"/>
    <w:rsid w:val="008F3D80"/>
    <w:rsid w:val="00906D0E"/>
    <w:rsid w:val="00A12A22"/>
    <w:rsid w:val="00AF4E2D"/>
    <w:rsid w:val="00B05F19"/>
    <w:rsid w:val="00B22618"/>
    <w:rsid w:val="00B3501E"/>
    <w:rsid w:val="00BE236F"/>
    <w:rsid w:val="00BE2701"/>
    <w:rsid w:val="00C67625"/>
    <w:rsid w:val="00CB34DB"/>
    <w:rsid w:val="00CC70B5"/>
    <w:rsid w:val="00CE1E2B"/>
    <w:rsid w:val="00CF5AEA"/>
    <w:rsid w:val="00D70E74"/>
    <w:rsid w:val="00DA4E9E"/>
    <w:rsid w:val="00E554F9"/>
    <w:rsid w:val="00FD66BE"/>
    <w:rsid w:val="0D7301CB"/>
    <w:rsid w:val="0FE42F62"/>
    <w:rsid w:val="1DD7554B"/>
    <w:rsid w:val="6F3B7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1"/>
      <w:lang w:val="en-US" w:eastAsia="zh-CN" w:bidi="ar-SA"/>
      <w14:ligatures w14:val="standardContextual"/>
    </w:rPr>
  </w:style>
  <w:style w:type="paragraph" w:styleId="2">
    <w:name w:val="heading 1"/>
    <w:next w:val="1"/>
    <w:link w:val="11"/>
    <w:qFormat/>
    <w:uiPriority w:val="9"/>
    <w:pPr>
      <w:keepNext/>
      <w:snapToGrid w:val="0"/>
      <w:spacing w:before="480" w:after="360" w:line="240" w:lineRule="atLeast"/>
      <w:jc w:val="center"/>
      <w:outlineLvl w:val="0"/>
    </w:pPr>
    <w:rPr>
      <w:rFonts w:ascii="黑体" w:hAnsi="黑体" w:eastAsia="黑体" w:cs="宋体"/>
      <w:b/>
      <w:kern w:val="0"/>
      <w:sz w:val="36"/>
      <w:szCs w:val="36"/>
      <w:lang w:val="en-US" w:eastAsia="zh-CN" w:bidi="ar-SA"/>
      <w14:ligatures w14:val="none"/>
    </w:rPr>
  </w:style>
  <w:style w:type="paragraph" w:styleId="3">
    <w:name w:val="heading 2"/>
    <w:next w:val="1"/>
    <w:link w:val="12"/>
    <w:autoRedefine/>
    <w:unhideWhenUsed/>
    <w:qFormat/>
    <w:uiPriority w:val="9"/>
    <w:pPr>
      <w:spacing w:before="240" w:after="120" w:line="384" w:lineRule="atLeast"/>
      <w:outlineLvl w:val="1"/>
    </w:pPr>
    <w:rPr>
      <w:rFonts w:ascii="微软雅黑" w:hAnsi="微软雅黑" w:eastAsia="微软雅黑" w:cs="宋体"/>
      <w:caps/>
      <w:kern w:val="0"/>
      <w:sz w:val="28"/>
      <w:szCs w:val="24"/>
      <w:lang w:val="en-US" w:eastAsia="zh-CN" w:bidi="ar-SA"/>
      <w14:ligatures w14:val="none"/>
    </w:rPr>
  </w:style>
  <w:style w:type="paragraph" w:styleId="4">
    <w:name w:val="heading 3"/>
    <w:basedOn w:val="1"/>
    <w:next w:val="1"/>
    <w:link w:val="13"/>
    <w:autoRedefine/>
    <w:unhideWhenUsed/>
    <w:qFormat/>
    <w:uiPriority w:val="9"/>
    <w:pPr>
      <w:widowControl/>
      <w:snapToGrid w:val="0"/>
      <w:spacing w:before="240" w:after="60"/>
      <w:jc w:val="left"/>
      <w:outlineLvl w:val="2"/>
    </w:pPr>
    <w:rPr>
      <w:rFonts w:ascii="微软雅黑" w:hAnsi="微软雅黑" w:eastAsia="微软雅黑" w:cs="宋体"/>
      <w:bCs/>
      <w:kern w:val="0"/>
      <w14:ligatures w14:val="none"/>
    </w:rPr>
  </w:style>
  <w:style w:type="character" w:default="1" w:styleId="9">
    <w:name w:val="Default Paragraph Font"/>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unhideWhenUsed/>
    <w:qFormat/>
    <w:uiPriority w:val="99"/>
    <w:pPr>
      <w:tabs>
        <w:tab w:val="center" w:pos="4153"/>
        <w:tab w:val="right" w:pos="8306"/>
      </w:tabs>
      <w:snapToGrid w:val="0"/>
      <w:jc w:val="center"/>
    </w:pPr>
    <w:rPr>
      <w:sz w:val="18"/>
      <w:szCs w:val="18"/>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customStyle="1" w:styleId="11">
    <w:name w:val="标题 1 字符"/>
    <w:basedOn w:val="9"/>
    <w:link w:val="2"/>
    <w:qFormat/>
    <w:uiPriority w:val="9"/>
    <w:rPr>
      <w:rFonts w:ascii="黑体" w:hAnsi="黑体" w:eastAsia="黑体" w:cs="宋体"/>
      <w:b/>
      <w:kern w:val="0"/>
      <w:sz w:val="36"/>
      <w:szCs w:val="36"/>
      <w14:ligatures w14:val="none"/>
    </w:rPr>
  </w:style>
  <w:style w:type="character" w:customStyle="1" w:styleId="12">
    <w:name w:val="标题 2 字符"/>
    <w:basedOn w:val="9"/>
    <w:link w:val="3"/>
    <w:qFormat/>
    <w:uiPriority w:val="9"/>
    <w:rPr>
      <w:rFonts w:ascii="微软雅黑" w:hAnsi="微软雅黑" w:eastAsia="微软雅黑" w:cs="宋体"/>
      <w:caps/>
      <w:kern w:val="0"/>
      <w:sz w:val="28"/>
      <w:szCs w:val="24"/>
      <w14:ligatures w14:val="none"/>
    </w:rPr>
  </w:style>
  <w:style w:type="character" w:customStyle="1" w:styleId="13">
    <w:name w:val="标题 3 字符"/>
    <w:basedOn w:val="9"/>
    <w:link w:val="4"/>
    <w:autoRedefine/>
    <w:qFormat/>
    <w:uiPriority w:val="9"/>
    <w:rPr>
      <w:rFonts w:ascii="微软雅黑" w:hAnsi="微软雅黑" w:eastAsia="微软雅黑" w:cs="宋体"/>
      <w:bCs/>
      <w:kern w:val="0"/>
      <w14:ligatures w14:val="none"/>
    </w:rPr>
  </w:style>
  <w:style w:type="paragraph" w:customStyle="1" w:styleId="14">
    <w:name w:val="附件正文"/>
    <w:link w:val="15"/>
    <w:qFormat/>
    <w:uiPriority w:val="0"/>
    <w:pPr>
      <w:spacing w:after="60" w:line="276" w:lineRule="auto"/>
      <w:ind w:firstLine="200" w:firstLineChars="200"/>
      <w:jc w:val="both"/>
    </w:pPr>
    <w:rPr>
      <w:rFonts w:asciiTheme="minorHAnsi" w:hAnsiTheme="minorHAnsi" w:eastAsiaTheme="minorEastAsia" w:cstheme="minorBidi"/>
      <w:kern w:val="0"/>
      <w:sz w:val="21"/>
      <w:szCs w:val="21"/>
      <w:lang w:val="en-US" w:eastAsia="zh-CN" w:bidi="ar-SA"/>
      <w14:ligatures w14:val="none"/>
    </w:rPr>
  </w:style>
  <w:style w:type="character" w:customStyle="1" w:styleId="15">
    <w:name w:val="附件正文 Char"/>
    <w:basedOn w:val="9"/>
    <w:link w:val="14"/>
    <w:uiPriority w:val="0"/>
    <w:rPr>
      <w:kern w:val="0"/>
      <w14:ligatures w14:val="none"/>
    </w:rPr>
  </w:style>
  <w:style w:type="character" w:customStyle="1" w:styleId="16">
    <w:name w:val="页眉 字符"/>
    <w:basedOn w:val="9"/>
    <w:link w:val="6"/>
    <w:qFormat/>
    <w:uiPriority w:val="99"/>
    <w:rPr>
      <w:sz w:val="18"/>
      <w:szCs w:val="18"/>
    </w:rPr>
  </w:style>
  <w:style w:type="character" w:customStyle="1" w:styleId="17">
    <w:name w:val="页脚 字符"/>
    <w:basedOn w:val="9"/>
    <w:link w:val="5"/>
    <w:qFormat/>
    <w:uiPriority w:val="99"/>
    <w:rPr>
      <w:sz w:val="18"/>
      <w:szCs w:val="18"/>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E19AE7F2-2188-4FA2-89D9-287F0B7C1A74}">
  <ds:schemaRefs/>
</ds:datastoreItem>
</file>

<file path=docProps/app.xml><?xml version="1.0" encoding="utf-8"?>
<Properties xmlns="http://schemas.openxmlformats.org/officeDocument/2006/extended-properties" xmlns:vt="http://schemas.openxmlformats.org/officeDocument/2006/docPropsVTypes">
  <Template>Normal</Template>
  <Pages>4</Pages>
  <Words>1737</Words>
  <Characters>1935</Characters>
  <Lines>2</Lines>
  <Paragraphs>1</Paragraphs>
  <TotalTime>7</TotalTime>
  <ScaleCrop>false</ScaleCrop>
  <LinksUpToDate>false</LinksUpToDate>
  <CharactersWithSpaces>1982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2024-05-15T04:34:00Z</dcterms:created>
  <dc:creator>昕奕 缪</dc:creator>
  <cp:lastModifiedBy>张政笑</cp:lastModifiedBy>
  <dcterms:modified xsi:type="dcterms:W3CDTF">2025-12-18T13:36:23Z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B49DAE417BB747E4BC10D6B207191DF3_12</vt:lpwstr>
  </property>
  <property fmtid="{D5CDD505-2E9C-101B-9397-08002B2CF9AE}" pid="4" name="KSOTemplateDocerSaveRecord">
    <vt:lpwstr>eyJoZGlkIjoiYjFlMTEwMzg2MzgzZjUwNWEzZmI5ZDNlMDk5ZDAwMzMiLCJ1c2VySWQiOiIxNjU2NTMzNDAyIn0=</vt:lpwstr>
  </property>
</Properties>
</file>