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Acme Scentific International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/>
      </w:r>
      <w:r>
        <w:rPr>
          <w:color w:val="000000"/>
          <w:sz w:val="24"/>
          <w:szCs w:val="24"/>
        </w:rPr>
        <w:drawing>
          <wp:inline distT="0" distB="0" distL="0" distR="0">
            <wp:extent cx="921600" cy="921600"/>
            <wp:docPr id="98580825" name="name154192578de2e0" descr="preferences_system_bluetoo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ferences_system_bluetooth.png"/>
                    <pic:cNvPicPr/>
                  </pic:nvPicPr>
                  <pic:blipFill>
                    <a:blip r:link="rId154192578ddcb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1600" cy="9216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hyperlink r:id="rId154192578deab5" w:history="1">
        <w:r>
          <w:rPr>
            <w:color w:val="0000CC"/>
            <w:sz w:val="24"/>
            <w:szCs w:val="24"/>
            <w:u w:val="single"/>
          </w:rPr>
          <w:br/>
          <w:t xml:space="preserve">Click here to see Company Logo</w:t>
        </w:r>
      </w:hyperlink>
      <w: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a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a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a, a, a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17 September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Neeraj Attri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Acme Scentific International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a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at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a@yahoo.co.in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Contact Database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Application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renewal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Marketing Communications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Directory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Events Registration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 Administration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Order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Continuing Professional Development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Website Content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Resource Library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Online Store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Acme Scentific International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17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3848967">
    <w:multiLevelType w:val="hybridMultilevel"/>
    <w:lvl w:ilvl="0" w:tplc="6398408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83848967">
    <w:abstractNumId w:val="8384896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54192578deab5" Type="http://schemas.openxmlformats.org/officeDocument/2006/relationships/hyperlink" Target="http://beta.skop.es/wp-content/uploads/companylogos/thumbs/128/preferences_system_bluetooth.png" TargetMode="External"/><Relationship Id="rId154192578ddcb4" Type="http://schemas.openxmlformats.org/officeDocument/2006/relationships/image" Target="http://beta.skop.es/wp-content/uploads/companylogos/thumbs/128/preferences_system_bluetooth.png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