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sz w:val="28"/>
        </w:rPr>
      </w:pPr>
      <w:r w:rsidRPr="00456562">
        <w:rPr>
          <w:rFonts w:ascii="Century Gothic" w:hAnsi="Century Gothic" w:cs="Arial"/>
          <w:b/>
          <w:sz w:val="32"/>
        </w:rPr>
        <w:t xml:space="preserve">Integrated Membership Management</w:t>
      </w:r>
    </w:p>
    <w:p w:rsidR="002F40C2" w:rsidRPr="00D96F0F" w:rsidRDefault="00850DB3" w:rsidP="00036ABE">
      <w:pPr>
        <w:jc w:val="center"/>
        <w:rPr>
          <w:rFonts w:ascii="Century Gothic" w:hAnsi="Century Gothic" w:cs="Arial"/>
          <w:sz w:val="28"/>
        </w:rPr>
      </w:pPr>
      <w:r w:rsidRPr="00850DB3">
        <w:rPr>
          <w:rFonts w:ascii="Century Gothic" w:hAnsi="Century Gothic" w:cs="Arial"/>
          <w:noProof/>
          <w:sz w:val="28"/>
          <w:lang w:val="en-US"/>
        </w:rPr>
        <w:drawing>
          <wp:inline distT="0" distB="0" distL="0" distR="0">
            <wp:extent cx="2080715" cy="2080715"/>
            <wp:effectExtent l="57150" t="19050" r="1478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73f494282dc">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Apple and Pear Australia Limited (APAL)</w:t>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39 O'Connell St</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North Melbourne, VIC, 3051</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25 November 2014</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Sophie Clayton</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Apple and Pear Australia Limited (APAL)</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Apple and Pear Australia Limited (APAL)</w:t>
      </w:r>
    </w:p>
    <w:p>
      <w:pPr>
        <w:widowControl w:val="on"/>
        <w:pBdr/>
        <w:spacing w:before="0" w:after="0" w:line="240" w:lineRule="auto"/>
        <w:ind w:left="0" w:right="0"/>
        <w:jc w:val="left"/>
      </w:pPr>
      <w:r>
        <w:rPr>
          <w:rFonts w:ascii="Century Gothic" w:hAnsi="Century Gothic" w:cs="Century Gothic"/>
          <w:color w:val="000000"/>
          <w:sz w:val="22"/>
          <w:szCs w:val="22"/>
        </w:rPr>
        <w:t xml:space="preserve">Apple and Pear Australia Limited (APAL) is the peak industry body representing commercial apple and pear growers in Australia. APAL is charged with providing leadership, support and additional resources to drive key industry initiatives, which meet the goals of the industry strategic plan.</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Includes: - increase membership - communicate more effectively with apple and pear growers - improve industry participation - increase organisational efficiency - provide better services to members, stakeholders, and apple and pear growers - organise our data management and systems for members, contacts, newsletters, web logins, SMS, etc - capture organisational data and share it better across the organisation</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10</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71</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28 August 2014</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07 November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28 August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10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Scoping and planning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17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Interface design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01 October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Development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29 October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User testing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08 October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Training complete and system live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31 October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07 November 2014</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1B3" w:rsidRDefault="00C611B3" w:rsidP="006830D9">
      <w:pPr>
        <w:spacing w:after="0" w:line="240" w:lineRule="auto"/>
      </w:pPr>
      <w:r>
        <w:separator/>
      </w:r>
    </w:p>
  </w:endnote>
  <w:endnote w:type="continuationSeparator" w:id="1">
    <w:p w:rsidR="00C611B3" w:rsidRDefault="00C611B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25 November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1B3" w:rsidRDefault="00C611B3" w:rsidP="006830D9">
      <w:pPr>
        <w:spacing w:after="0" w:line="240" w:lineRule="auto"/>
      </w:pPr>
      <w:r>
        <w:separator/>
      </w:r>
    </w:p>
  </w:footnote>
  <w:footnote w:type="continuationSeparator" w:id="1">
    <w:p w:rsidR="00C611B3" w:rsidRDefault="00C611B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0599246">
    <w:multiLevelType w:val="hybridMultilevel"/>
    <w:lvl w:ilvl="0" w:tplc="8676442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70599246">
    <w:abstractNumId w:val="705992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D59A2"/>
    <w:rsid w:val="000F10B2"/>
    <w:rsid w:val="00105DA8"/>
    <w:rsid w:val="00110A1B"/>
    <w:rsid w:val="0014015E"/>
    <w:rsid w:val="00157352"/>
    <w:rsid w:val="00166110"/>
    <w:rsid w:val="00190D5F"/>
    <w:rsid w:val="00192AB2"/>
    <w:rsid w:val="001A4D5D"/>
    <w:rsid w:val="001B0310"/>
    <w:rsid w:val="001B68F8"/>
    <w:rsid w:val="001C1AEF"/>
    <w:rsid w:val="0021632C"/>
    <w:rsid w:val="0023720D"/>
    <w:rsid w:val="00272D73"/>
    <w:rsid w:val="00274ED6"/>
    <w:rsid w:val="002A5ED5"/>
    <w:rsid w:val="002D651B"/>
    <w:rsid w:val="002F40C2"/>
    <w:rsid w:val="00306134"/>
    <w:rsid w:val="00383A22"/>
    <w:rsid w:val="00386FE2"/>
    <w:rsid w:val="00387086"/>
    <w:rsid w:val="003F1D62"/>
    <w:rsid w:val="003F4A6D"/>
    <w:rsid w:val="003F4E35"/>
    <w:rsid w:val="004456E0"/>
    <w:rsid w:val="00450CC6"/>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50DB3"/>
    <w:rsid w:val="00885F93"/>
    <w:rsid w:val="008B0EA8"/>
    <w:rsid w:val="008E180A"/>
    <w:rsid w:val="008E51C4"/>
    <w:rsid w:val="00934F49"/>
    <w:rsid w:val="009403E9"/>
    <w:rsid w:val="00942816"/>
    <w:rsid w:val="00982A45"/>
    <w:rsid w:val="00983E61"/>
    <w:rsid w:val="009A361D"/>
    <w:rsid w:val="009B3F37"/>
    <w:rsid w:val="009C0E01"/>
    <w:rsid w:val="009D3E6E"/>
    <w:rsid w:val="009E18E6"/>
    <w:rsid w:val="009E44F6"/>
    <w:rsid w:val="00A031E5"/>
    <w:rsid w:val="00A17478"/>
    <w:rsid w:val="00A24A18"/>
    <w:rsid w:val="00A40114"/>
    <w:rsid w:val="00A41CD0"/>
    <w:rsid w:val="00A44AB8"/>
    <w:rsid w:val="00A814B1"/>
    <w:rsid w:val="00A81F0D"/>
    <w:rsid w:val="00A93438"/>
    <w:rsid w:val="00A96A58"/>
    <w:rsid w:val="00AB6541"/>
    <w:rsid w:val="00AD6599"/>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611B3"/>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30AE7"/>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73f494282dc" Type="http://schemas.openxmlformats.org/officeDocument/2006/relationships/image" Target="media/APAL_Logo_RGB.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46</cp:revision>
  <dcterms:created xsi:type="dcterms:W3CDTF">2014-02-03T22:05:00Z</dcterms:created>
  <dcterms:modified xsi:type="dcterms:W3CDTF">2014-10-02T11:03:00Z</dcterms:modified>
</cp:coreProperties>
</file>