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Motivated youth</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f7083b4eac">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edt ltd</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downstreet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asr, punjab, 143001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02 February 2015</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RAHUL SINGH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edt ltd</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edt ltd</w:t>
      </w:r>
    </w:p>
    <w:p>
      <w:pPr>
        <w:widowControl w:val="on"/>
        <w:pBdr/>
        <w:spacing w:before="0" w:after="0" w:line="240" w:lineRule="auto"/>
        <w:ind w:left="0" w:right="0"/>
        <w:jc w:val="left"/>
      </w:pPr>
      <w:r>
        <w:rPr>
          <w:rFonts w:ascii="Century Gothic" w:hAnsi="Century Gothic" w:cs="Century Gothic"/>
          <w:color w:val="000000"/>
          <w:sz w:val="22"/>
          <w:szCs w:val="22"/>
        </w:rPr>
        <w:t xml:space="preserve">To spread a light of motivation To make world with positive thinking .</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To spread a light of motivation</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45</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02 February 2015</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19 March 2015</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02 February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05 February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10 February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11 February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28 February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11 March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02 March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19 March 2015</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425989">
    <w:multiLevelType w:val="hybridMultilevel"/>
    <w:lvl w:ilvl="0" w:tplc="375939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52425989">
    <w:abstractNumId w:val="5242598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f7083b4eac" Type="http://schemas.openxmlformats.org/officeDocument/2006/relationships/image" Target="media/Untitle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