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Skop</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c9df92047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Skop</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Lane number 6</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177141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12 February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Skop</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Skop</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maximum Goal</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To attain Goal</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3808</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19 February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24 July 2025</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19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26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24 July 2025</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182267">
    <w:multiLevelType w:val="hybridMultilevel"/>
    <w:lvl w:ilvl="0" w:tplc="472010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94182267">
    <w:abstractNumId w:val="941822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c9df920476"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