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yuy</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1159200" cy="360000"/>
            <wp:docPr id="45140915" name="name153db37f67af66" descr="lcu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ubed.png"/>
                    <pic:cNvPicPr/>
                  </pic:nvPicPr>
                  <pic:blipFill>
                    <a:blip r:link="rId153db37f67a793" cstate="print"/>
                    <a:stretch>
                      <a:fillRect/>
                    </a:stretch>
                  </pic:blipFill>
                  <pic:spPr>
                    <a:xfrm>
                      <a:off x="0" y="0"/>
                      <a:ext cx="1159200" cy="360000"/>
                    </a:xfrm>
                    <a:prstGeom prst="rect">
                      <a:avLst/>
                    </a:prstGeom>
                    <a:ln w="0">
                      <a:noFill/>
                    </a:ln>
                  </pic:spPr>
                </pic:pic>
              </a:graphicData>
            </a:graphic>
          </wp:inline>
        </w:drawing>
      </w:r>
      <w: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LCubed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 Test, Test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01 August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Juliana%25252BKoh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LCubed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Test</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Test</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uttyut</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tyu</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Functional Area</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Description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Contact Database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almost all membership system builds, whether on or off line, the contact database is a central feature. It is mandatory to the implementation of a working membership system.</w:t>
            </w:r>
            <w:r>
              <w:rPr>
                <w:color w:val="000000"/>
                <w:position w:val="-3"/>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Contact database features include:</w:t>
            </w:r>
            <w:r>
              <w:rPr>
                <w:color w:val="000000"/>
                <w:position w:val="-3"/>
                <w:sz w:val="24"/>
                <w:szCs w:val="24"/>
              </w:rPr>
              <w:br/>
              <w:t xml:space="preserve"> - Adding new contact details</w:t>
            </w:r>
            <w:r>
              <w:rPr>
                <w:color w:val="000000"/>
                <w:position w:val="-3"/>
                <w:sz w:val="24"/>
                <w:szCs w:val="24"/>
              </w:rPr>
              <w:br/>
              <w:t xml:space="preserve"> - Managing and editing contacts and status</w:t>
            </w:r>
            <w:r>
              <w:rPr>
                <w:color w:val="000000"/>
                <w:position w:val="-3"/>
                <w:sz w:val="24"/>
                <w:szCs w:val="24"/>
              </w:rPr>
              <w:br/>
              <w:t xml:space="preserve"> - Manage access and user permissions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Application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Automation of membership processes, and providing the ability for members to self serve, can represent a significant saving (operational efficiency) to your organisation at the same time as providing improved (self) service.</w:t>
            </w:r>
            <w:r>
              <w:rPr>
                <w:color w:val="000000"/>
                <w:position w:val="-3"/>
                <w:sz w:val="24"/>
                <w:szCs w:val="24"/>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color w:val="000000"/>
                <w:position w:val="-3"/>
                <w:sz w:val="24"/>
                <w:szCs w:val="24"/>
              </w:rPr>
              <w:br/>
              <w:br/>
              <w:t xml:space="preserve"> Key Membership Application features are:</w:t>
            </w:r>
            <w:r>
              <w:rPr>
                <w:color w:val="000000"/>
                <w:position w:val="-3"/>
                <w:sz w:val="24"/>
                <w:szCs w:val="24"/>
              </w:rPr>
              <w:br/>
              <w:t xml:space="preserve"> - Individuals / corporations can apply for membership via the public website</w:t>
            </w:r>
            <w:r>
              <w:rPr>
                <w:color w:val="000000"/>
                <w:position w:val="-3"/>
                <w:sz w:val="24"/>
                <w:szCs w:val="24"/>
              </w:rPr>
              <w:br/>
              <w:t xml:space="preserve"> - Members can choose applicable options and levels</w:t>
            </w:r>
            <w:r>
              <w:rPr>
                <w:color w:val="000000"/>
                <w:position w:val="-3"/>
                <w:sz w:val="24"/>
                <w:szCs w:val="24"/>
              </w:rPr>
              <w:br/>
              <w:t xml:space="preserve"> - Communications and payments are handeled by the system</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renewal</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Allowing members to renew through your website in a simple and intuitive way will also create significant cost savings.</w:t>
            </w:r>
            <w:r>
              <w:rPr>
                <w:color w:val="000000"/>
                <w:position w:val="-3"/>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position w:val="-3"/>
                <w:sz w:val="24"/>
                <w:szCs w:val="24"/>
              </w:rPr>
              <w:br/>
              <w:br/>
              <w:t xml:space="preserve"> Key features include:</w:t>
            </w:r>
            <w:r>
              <w:rPr>
                <w:color w:val="000000"/>
                <w:position w:val="-3"/>
                <w:sz w:val="24"/>
                <w:szCs w:val="24"/>
              </w:rPr>
              <w:br/>
              <w:t xml:space="preserve"> - Automated notifications of membership expiry</w:t>
            </w:r>
            <w:r>
              <w:rPr>
                <w:color w:val="000000"/>
                <w:position w:val="-3"/>
                <w:sz w:val="24"/>
                <w:szCs w:val="24"/>
              </w:rPr>
              <w:br/>
              <w:t xml:space="preserve"> - Members can modify their membership types, interests and settings</w:t>
            </w:r>
            <w:r>
              <w:rPr>
                <w:color w:val="000000"/>
                <w:position w:val="-3"/>
                <w:sz w:val="24"/>
                <w:szCs w:val="24"/>
              </w:rPr>
              <w:br/>
              <w:t xml:space="preserve"> - Online payments processed for renewals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 Services/benefits</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position w:val="-3"/>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position w:val="-3"/>
                <w:sz w:val="24"/>
                <w:szCs w:val="24"/>
              </w:rPr>
              <w:br/>
              <w:br/>
              <w:t xml:space="preserve"> Key features include:</w:t>
            </w:r>
            <w:r>
              <w:rPr>
                <w:color w:val="000000"/>
                <w:position w:val="-3"/>
                <w:sz w:val="24"/>
                <w:szCs w:val="24"/>
              </w:rPr>
              <w:br/>
              <w:br/>
              <w:t xml:space="preserve"> - Members can update there own details at any time</w:t>
            </w:r>
            <w:r>
              <w:rPr>
                <w:color w:val="000000"/>
                <w:position w:val="-3"/>
                <w:sz w:val="24"/>
                <w:szCs w:val="24"/>
              </w:rPr>
              <w:br/>
              <w:t xml:space="preserve"> - Different levels of memberships can have access to different information/services</w:t>
            </w:r>
            <w:r>
              <w:rPr>
                <w:color w:val="000000"/>
                <w:position w:val="-3"/>
                <w:sz w:val="24"/>
                <w:szCs w:val="24"/>
              </w:rPr>
              <w:br/>
              <w:t xml:space="preserve"> - Non-members (contacts or lapsed members) can also update details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 Directory</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some cases the publication of certain membership details back to the website is necessary. This often occurs amongst networking groups or where members are organisations and the organisational details are being published. </w:t>
            </w:r>
            <w:r>
              <w:rPr>
                <w:color w:val="000000"/>
                <w:position w:val="-3"/>
                <w:sz w:val="24"/>
                <w:szCs w:val="24"/>
              </w:rPr>
              <w:br/>
              <w:br/>
              <w:t xml:space="preserve"> These directories or lists can be published publicly or log in only areas.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Members receive directory listings as part of their membership benefits</w:t>
            </w:r>
            <w:r>
              <w:rPr>
                <w:color w:val="000000"/>
                <w:position w:val="-3"/>
                <w:sz w:val="24"/>
                <w:szCs w:val="24"/>
              </w:rPr>
              <w:br/>
              <w:t xml:space="preserve"> - Details to be included in the directory can be configured</w:t>
            </w:r>
            <w:r>
              <w:rPr>
                <w:color w:val="000000"/>
                <w:position w:val="-3"/>
                <w:sz w:val="24"/>
                <w:szCs w:val="24"/>
              </w:rPr>
              <w:br/>
              <w:t xml:space="preserve"> - The member directory can be filtered by a range of custom options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Events Registration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position w:val="-3"/>
                <w:sz w:val="24"/>
                <w:szCs w:val="24"/>
              </w:rPr>
              <w:br/>
              <w:br/>
              <w:t xml:space="preserve"> A list of functional line items relating to Event Registration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Events can be quickly and easily published onto the website</w:t>
            </w:r>
            <w:r>
              <w:rPr>
                <w:color w:val="000000"/>
                <w:position w:val="-3"/>
                <w:sz w:val="24"/>
                <w:szCs w:val="24"/>
              </w:rPr>
              <w:br/>
              <w:t xml:space="preserve"> - Members receive different event pricing to non-members</w:t>
            </w:r>
            <w:r>
              <w:rPr>
                <w:color w:val="000000"/>
                <w:position w:val="-3"/>
                <w:sz w:val="24"/>
                <w:szCs w:val="24"/>
              </w:rPr>
              <w:br/>
              <w:t xml:space="preserve"> - Registrants can purchase tickets to all events in a suite of events or purchase in groups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Event Administration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The 'back-office' activities required when running an event can be extensive and time consuming. Many however can be automated to some extent, which represents a significant saving of time and money. </w:t>
            </w:r>
            <w:r>
              <w:rPr>
                <w:color w:val="000000"/>
                <w:position w:val="-3"/>
                <w:sz w:val="24"/>
                <w:szCs w:val="24"/>
              </w:rPr>
              <w:br/>
              <w:br/>
              <w:t xml:space="preserve"> Key features include:</w:t>
            </w:r>
            <w:r>
              <w:rPr>
                <w:color w:val="000000"/>
                <w:position w:val="-3"/>
                <w:sz w:val="24"/>
                <w:szCs w:val="24"/>
              </w:rPr>
              <w:br/>
              <w:br/>
              <w:t xml:space="preserve"> - Seating allocation can be done automatically but with manual override as required</w:t>
            </w:r>
            <w:r>
              <w:rPr>
                <w:color w:val="000000"/>
                <w:position w:val="-3"/>
                <w:sz w:val="24"/>
                <w:szCs w:val="24"/>
              </w:rPr>
              <w:br/>
              <w:t xml:space="preserve"> - Name tags can be automatically generated for event</w:t>
            </w:r>
            <w:r>
              <w:rPr>
                <w:color w:val="000000"/>
                <w:position w:val="-3"/>
                <w:sz w:val="24"/>
                <w:szCs w:val="24"/>
              </w:rPr>
              <w:br/>
              <w:t xml:space="preserve"> - Follow up emails can be sent to both attendees and non-attendees after event</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Order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A range of online payment gateways are supported</w:t>
            </w:r>
            <w:r>
              <w:rPr>
                <w:color w:val="000000"/>
                <w:position w:val="-3"/>
                <w:sz w:val="24"/>
                <w:szCs w:val="24"/>
              </w:rPr>
              <w:br/>
              <w:t xml:space="preserve"> - Orders can be processed through a number of different statuses reflecting your processes</w:t>
            </w:r>
            <w:r>
              <w:rPr>
                <w:color w:val="000000"/>
                <w:position w:val="-3"/>
                <w:sz w:val="24"/>
                <w:szCs w:val="24"/>
              </w:rPr>
              <w:br/>
              <w:t xml:space="preserve"> - Integration with common accounting packages is available</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Continuing Professional Development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Many Associations focus on assisting in improve industry standards by providing, monitoring and rewarding members for undertaking ongoing professional development activities. </w:t>
            </w:r>
            <w:r>
              <w:rPr>
                <w:color w:val="000000"/>
                <w:position w:val="-3"/>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CPD goals and points can be set-up flexibility in the system</w:t>
            </w:r>
            <w:r>
              <w:rPr>
                <w:color w:val="000000"/>
                <w:position w:val="-3"/>
                <w:sz w:val="24"/>
                <w:szCs w:val="24"/>
              </w:rPr>
              <w:br/>
              <w:t xml:space="preserve"> - Members can be prevented from renewing their membership if CPD goal(s) have not been met</w:t>
            </w:r>
            <w:r>
              <w:rPr>
                <w:color w:val="000000"/>
                <w:position w:val="-3"/>
                <w:sz w:val="24"/>
                <w:szCs w:val="24"/>
              </w:rPr>
              <w:br/>
              <w:t xml:space="preserve"> - Members can track and manage their own CPD record e.g. to add external activities that qualify for CPD recognition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Website Content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Key features include:</w:t>
            </w:r>
            <w:r>
              <w:rPr>
                <w:color w:val="000000"/>
                <w:position w:val="-3"/>
                <w:sz w:val="24"/>
                <w:szCs w:val="24"/>
              </w:rPr>
              <w:br/>
              <w:br/>
              <w:t xml:space="preserve"> - All site content can be managed by non-technical administrators</w:t>
            </w:r>
            <w:r>
              <w:rPr>
                <w:color w:val="000000"/>
                <w:position w:val="-3"/>
                <w:sz w:val="24"/>
                <w:szCs w:val="24"/>
              </w:rPr>
              <w:br/>
              <w:t xml:space="preserve"> - Menu structures and Information Architectures (site maps) can managed</w:t>
            </w:r>
            <w:r>
              <w:rPr>
                <w:color w:val="000000"/>
                <w:position w:val="-3"/>
                <w:sz w:val="24"/>
                <w:szCs w:val="24"/>
              </w:rPr>
              <w:br/>
              <w:t xml:space="preserve"> - Content approval workflow is supported</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position w:val="-3"/>
                <w:sz w:val="24"/>
                <w:szCs w:val="24"/>
              </w:rPr>
              <w:br/>
              <w:br/>
              <w:t xml:space="preserve"> Online stores can range dramatically in complexity and sophistication, so truly specifying and costing this area of functionality can be difficult. </w:t>
            </w:r>
            <w:r>
              <w:rPr>
                <w:color w:val="000000"/>
                <w:position w:val="-3"/>
                <w:sz w:val="24"/>
                <w:szCs w:val="24"/>
              </w:rPr>
              <w:br/>
              <w:br/>
              <w:t xml:space="preserve"> Key features include:</w:t>
            </w:r>
            <w:r>
              <w:rPr>
                <w:color w:val="000000"/>
                <w:position w:val="-3"/>
                <w:sz w:val="24"/>
                <w:szCs w:val="24"/>
              </w:rPr>
              <w:br/>
              <w:br/>
              <w:t xml:space="preserve"> - Any number of categories/subcategories of products can be defined</w:t>
            </w:r>
            <w:r>
              <w:rPr>
                <w:color w:val="000000"/>
                <w:position w:val="-3"/>
                <w:sz w:val="24"/>
                <w:szCs w:val="24"/>
              </w:rPr>
              <w:br/>
              <w:t xml:space="preserve"> - Online payment can be taken flexibly via payment systems</w:t>
            </w:r>
            <w:r>
              <w:rPr>
                <w:color w:val="000000"/>
                <w:position w:val="-3"/>
                <w:sz w:val="24"/>
                <w:szCs w:val="24"/>
              </w:rPr>
              <w:br/>
              <w:t xml:space="preserve"> - Different shipping methods and pricing can be configured</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ooooooooooooooo</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Mahajan test</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01 August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01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03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10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12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13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15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18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01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116901">
    <w:multiLevelType w:val="hybridMultilevel"/>
    <w:lvl w:ilvl="0" w:tplc="392138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44116901">
    <w:abstractNumId w:val="441169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db37f67a793" Type="http://schemas.openxmlformats.org/officeDocument/2006/relationships/image" Target="http://beta.skop.es/wp-content/uploads/companylogos/thumbs/52/lcubed.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