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5E61CB" w:rsidRDefault="00F452AA" w:rsidP="005E61CB">
      <w:pPr>
        <w:jc w:val="center"/>
        <w:rPr>
          <w:rFonts w:ascii="Century Gothic" w:hAnsi="Century Gothic" w:cs="Arial"/>
          <w:b/>
          <w:sz w:val="32"/>
        </w:rPr>
      </w:pPr>
      <w:r w:rsidRPr="00F452AA">
        <w:rPr>
          <w:rFonts w:ascii="Century Gothic" w:hAnsi="Century Gothic" w:cs="Arial"/>
          <w:b/>
          <w:sz w:val="32"/>
        </w:rPr>
        <w:t xml:space="preserve">Acme builder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921600" cy="921600"/>
            <wp:docPr id="62289006" name="name1541bf380b9f99" descr="preferences_system_blue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_system_bluetooth.png"/>
                    <pic:cNvPicPr/>
                  </pic:nvPicPr>
                  <pic:blipFill>
                    <a:blip r:link="rId1541bf380b9ba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hyperlink r:id="rId1541bf380ba760" w:history="1">
        <w:r>
          <w:rPr>
            <w:color w:val="0000CC"/>
            <w:sz w:val="24"/>
            <w:szCs w:val="24"/>
            <w:u w:val="single"/>
          </w:rPr>
          <w:br/>
          <w:t xml:space="preserve">Click here to see Company Logo</w:t>
        </w:r>
      </w:hyperlink>
      <w:r>
        <w:t xml:space="preserve"/>
      </w: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Student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F452AA" w:rsidP="009F6334">
      <w:pPr>
        <w:jc w:val="center"/>
        <w:rPr>
          <w:rFonts w:ascii="Century Gothic" w:hAnsi="Century Gothic" w:cs="Arial"/>
          <w:sz w:val="28"/>
        </w:rPr>
      </w:pPr>
      <w:r w:rsidRPr="00F452AA">
        <w:rPr>
          <w:rFonts w:ascii="Century Gothic" w:hAnsi="Century Gothic" w:cs="Arial"/>
          <w:sz w:val="28"/>
        </w:rPr>
        <w:t xml:space="preserve">Street number 6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Alaska, USA, 90021</w:t>
      </w:r>
    </w:p>
    <w:p w:rsidR="009F6334" w:rsidRPr="009F6334" w:rsidRDefault="009F6334" w:rsidP="00F452AA">
      <w:pPr>
        <w:rPr>
          <w:rFonts w:ascii="Century Gothic" w:hAnsi="Century Gothic" w:cs="Arial"/>
          <w:sz w:val="28"/>
        </w:rPr>
      </w:pPr>
    </w:p>
    <w:p w:rsidR="009F6334" w:rsidRPr="009F6334" w:rsidRDefault="009F6334" w:rsidP="005E61CB">
      <w:pPr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19 September 2014</w:t>
      </w:r>
    </w:p>
    <w:p w:rsidR="006143CD" w:rsidRPr="005E61CB" w:rsidRDefault="00F452AA" w:rsidP="005E61CB">
      <w:pPr>
        <w:jc w:val="center"/>
        <w:rPr>
          <w:rFonts w:ascii="Century Gothic" w:hAnsi="Century Gothic" w:cs="Arial"/>
          <w:sz w:val="24"/>
        </w:rPr>
      </w:pPr>
      <w:r w:rsidRPr="00F452AA">
        <w:rPr>
          <w:rFonts w:ascii="Century Gothic" w:hAnsi="Century Gothic" w:cs="Arial"/>
          <w:sz w:val="24"/>
        </w:rPr>
        <w:t xml:space="preserve">Smith</w:t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5E61CB" w:rsidRDefault="005E61CB">
      <w:pPr>
        <w:rPr>
          <w:rFonts w:ascii="Century Gothic" w:hAnsi="Century Gothic" w:cstheme="minorHAnsi"/>
          <w:b/>
          <w:smallCaps/>
          <w:sz w:val="28"/>
          <w:szCs w:val="28"/>
        </w:rPr>
      </w:pPr>
      <w:r>
        <w:rPr>
          <w:rFonts w:ascii="Century Gothic" w:hAnsi="Century Gothic" w:cstheme="minorHAnsi"/>
          <w:b/>
          <w:smallCaps/>
          <w:sz w:val="28"/>
          <w:szCs w:val="28"/>
        </w:rPr>
        <w:br w:type="page"/>
      </w:r>
    </w:p>
    <w:p w:rsidR="006143CD" w:rsidRDefault="006143CD" w:rsidP="009B6EF2">
      <w:pPr>
        <w:pStyle w:val="Heading1"/>
        <w:numPr>
          <w:ilvl w:val="0"/>
          <w:numId w:val="0"/>
        </w:numPr>
      </w:pPr>
      <w:r w:rsidRPr="009B6EF2">
        <w:lastRenderedPageBreak/>
        <w:t>Table of Contents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Executive summary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Key Objectives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 Scope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Costs &amp; Budget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</w:t>
      </w:r>
      <w:r>
        <w:rPr>
          <w:rFonts w:ascii="Century Gothic" w:hAnsi="Century Gothic" w:cstheme="minorHAnsi"/>
        </w:rPr>
        <w:t>roject objectives and benefits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Introduction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</w:t>
      </w:r>
      <w:r>
        <w:rPr>
          <w:rFonts w:ascii="Century Gothic" w:hAnsi="Century Gothic" w:cstheme="minorHAnsi"/>
        </w:rPr>
        <w:t>ts contribution to our mission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Projects contributi</w:t>
      </w:r>
      <w:r>
        <w:rPr>
          <w:rFonts w:ascii="Century Gothic" w:hAnsi="Century Gothic" w:cstheme="minorHAnsi"/>
        </w:rPr>
        <w:t>on to our organisational goals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Return on investment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Role</w:t>
      </w:r>
      <w:r>
        <w:rPr>
          <w:rFonts w:ascii="Century Gothic" w:hAnsi="Century Gothic" w:cstheme="minorHAnsi"/>
        </w:rPr>
        <w:t>s, Responsibilities and Effort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Process and timelines</w:t>
      </w:r>
      <w:r w:rsidRPr="009B6EF2"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Timeline &amp; milestones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Supplier evaluatio</w:t>
      </w:r>
      <w:r>
        <w:rPr>
          <w:rFonts w:ascii="Century Gothic" w:hAnsi="Century Gothic" w:cstheme="minorHAnsi"/>
        </w:rPr>
        <w:t>n criteria</w:t>
      </w:r>
    </w:p>
    <w:p w:rsidR="009B6EF2" w:rsidRPr="009B6EF2" w:rsidRDefault="009B6EF2" w:rsidP="009B6EF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Scope: Features and functions</w:t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 w:rsidRPr="009B6EF2">
        <w:rPr>
          <w:rFonts w:ascii="Century Gothic" w:hAnsi="Century Gothic" w:cstheme="minorHAnsi"/>
        </w:rPr>
        <w:t>Fun</w:t>
      </w:r>
      <w:r>
        <w:rPr>
          <w:rFonts w:ascii="Century Gothic" w:hAnsi="Century Gothic" w:cstheme="minorHAnsi"/>
        </w:rPr>
        <w:t>ctional areas: ROI &amp; Benefits</w:t>
      </w:r>
      <w:r>
        <w:rPr>
          <w:rFonts w:ascii="Century Gothic" w:hAnsi="Century Gothic" w:cstheme="minorHAnsi"/>
        </w:rPr>
        <w:tab/>
      </w:r>
    </w:p>
    <w:p w:rsidR="009B6EF2" w:rsidRPr="009B6EF2" w:rsidRDefault="009B6EF2" w:rsidP="009B6EF2">
      <w:pPr>
        <w:ind w:left="720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ROI &amp; Benefits by feature</w:t>
      </w:r>
      <w:r>
        <w:rPr>
          <w:rFonts w:ascii="Century Gothic" w:hAnsi="Century Gothic" w:cstheme="minorHAnsi"/>
        </w:rPr>
        <w:tab/>
      </w:r>
    </w:p>
    <w:p w:rsidR="009B6EF2" w:rsidRDefault="009B6EF2">
      <w:pPr>
        <w:rPr>
          <w:rFonts w:ascii="Century Gothic" w:eastAsiaTheme="majorEastAsia" w:hAnsi="Century Gothic" w:cstheme="majorBidi"/>
          <w:bCs/>
          <w:color w:val="365F91" w:themeColor="accent1" w:themeShade="BF"/>
          <w:sz w:val="32"/>
          <w:szCs w:val="28"/>
        </w:rPr>
      </w:pPr>
      <w:bookmarkStart w:id="0" w:name="_Toc387150277"/>
      <w:r>
        <w:br w:type="page"/>
      </w:r>
    </w:p>
    <w:p w:rsidR="006143CD" w:rsidRPr="009F6334" w:rsidRDefault="006143CD" w:rsidP="004B5122">
      <w:pPr>
        <w:pStyle w:val="Heading1"/>
      </w:pPr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efe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tete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9B6EF2" w:rsidRPr="009B6EF2">
        <w:rPr>
          <w:rFonts w:ascii="Century Gothic" w:hAnsi="Century Gothic" w:cstheme="minorHAnsi"/>
          <w:b/>
        </w:rPr>
        <w:t>$</w:t>
      </w:r>
      <w:r w:rsidR="009B6EF2">
        <w:rPr>
          <w:rFonts w:ascii="Century Gothic" w:hAnsi="Century Gothic" w:cstheme="minorHAnsi"/>
        </w:rPr>
        <w:t xml:space="preserve"> </w:t>
      </w:r>
      <w:r w:rsidR="00FF2DF4" w:rsidRPr="003E3BBC">
        <w:rPr>
          <w:rFonts w:ascii="Century Gothic" w:hAnsi="Century Gothic" w:cstheme="minorHAnsi"/>
          <w:b/>
        </w:rPr>
        <w:t xml:space="preserve">89499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14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95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F452AA" w:rsidP="00D728F2">
            <w:pPr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 xml:space="preserve">1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13</w:t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9B6EF2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 xml:space="preserve">$ </w:t>
            </w:r>
            <w:r w:rsidR="00CB469C" w:rsidRPr="00D60866">
              <w:rPr>
                <w:rFonts w:ascii="Century Gothic" w:hAnsi="Century Gothic" w:cstheme="minorHAnsi"/>
              </w:rPr>
              <w:t xml:space="preserve">89499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5" w:name="_Toc387150281"/>
      <w:r w:rsidRPr="009F6334">
        <w:rPr>
          <w:rFonts w:cstheme="minorHAnsi"/>
        </w:rPr>
        <w:t>Costs &amp; Budget</w:t>
      </w:r>
      <w:bookmarkEnd w:id="5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F452AA" w:rsidRPr="00F452AA">
        <w:rPr>
          <w:rFonts w:ascii="Century Gothic" w:hAnsi="Century Gothic" w:cs="Arial"/>
          <w:b/>
        </w:rPr>
        <w:t xml:space="preserve">40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>
      <w:pPr>
        <w:spacing w:before="0" w:after="0" w:line="240" w:lineRule="auto"/>
        <w:ind w:left="0" w:right="0"/>
        <w:jc w:val="left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Vivek Sir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6" w:name="_Toc387150282"/>
      <w:r w:rsidRPr="009F6334">
        <w:rPr>
          <w:rFonts w:cstheme="minorHAnsi"/>
        </w:rPr>
        <w:t>Timeline</w:t>
      </w:r>
      <w:r w:rsidR="00662F1A" w:rsidRPr="009F6334">
        <w:rPr>
          <w:rFonts w:cstheme="minorHAnsi"/>
        </w:rPr>
        <w:t xml:space="preserve"> &amp; milestones</w:t>
      </w:r>
      <w:bookmarkEnd w:id="6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0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01 January 1970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lastRenderedPageBreak/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01 January 1970</w:t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7" w:name="_Toc387150283"/>
      <w:r w:rsidRPr="009F6334">
        <w:rPr>
          <w:rFonts w:cstheme="minorHAnsi"/>
        </w:rPr>
        <w:t>Project objectives and benefits</w:t>
      </w:r>
      <w:bookmarkEnd w:id="7"/>
    </w:p>
    <w:p w:rsidR="00306134" w:rsidRPr="009F6334" w:rsidRDefault="007A6948" w:rsidP="007A6948">
      <w:pPr>
        <w:pStyle w:val="Heading2"/>
      </w:pPr>
      <w:bookmarkStart w:id="8" w:name="_Toc387150284"/>
      <w:r w:rsidRPr="009F6334">
        <w:t>Introduction</w:t>
      </w:r>
      <w:bookmarkEnd w:id="8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9" w:name="_Toc387150285"/>
      <w:r w:rsidRPr="00E9144D">
        <w:t>Our mission</w:t>
      </w:r>
      <w:bookmarkEnd w:id="9"/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wdwdwd</w:t>
      </w:r>
    </w:p>
    <w:p w:rsidR="00E9144D" w:rsidRPr="00E9144D" w:rsidRDefault="00E9144D" w:rsidP="00E9144D">
      <w:pPr>
        <w:pStyle w:val="Heading2"/>
      </w:pPr>
      <w:r w:rsidRPr="00E9144D">
        <w:t xml:space="preserve">Our </w:t>
      </w:r>
      <w:r w:rsidR="00F452AA">
        <w:t>goals</w:t>
      </w:r>
      <w:r w:rsidRPr="00E9144D">
        <w:t xml:space="preserve"> 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000000"/>
          <w:sz w:val="22"/>
          <w:szCs w:val="22"/>
        </w:rPr>
        <w:t xml:space="preserve">dwdw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efe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tete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0" w:name="_Toc387150289"/>
      <w:r w:rsidRPr="009F6334">
        <w:rPr>
          <w:rFonts w:cstheme="minorHAnsi"/>
        </w:rPr>
        <w:lastRenderedPageBreak/>
        <w:t>Return on investment</w:t>
      </w:r>
      <w:bookmarkEnd w:id="10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Events Registration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82650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Contact Database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7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6201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Application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9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Membership renewal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 Services/benefits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Marketing Communications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Member Directory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Event Administration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Order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639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Continuing Professional Development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Website Content Management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Resource Library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Online Store</w:t>
            </w:r>
          </w:p>
        </w:tc>
        <w:tc>
          <w:tcPr>
            <w:tcW w:w="2982" w:type="dxa"/>
          </w:tcPr>
          <w:p w:rsidR="00422181" w:rsidRPr="00D54CB1" w:rsidRDefault="00D91A37" w:rsidP="00F201A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  <w:tc>
          <w:tcPr>
            <w:tcW w:w="3180" w:type="dxa"/>
          </w:tcPr>
          <w:p w:rsidR="00D91A37" w:rsidRPr="00D54CB1" w:rsidRDefault="009B6EF2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D91A37" w:rsidRPr="00D54CB1">
              <w:rPr>
                <w:rFonts w:ascii="Century Gothic" w:hAnsi="Century Gothic" w:cs="Arial"/>
                <w:sz w:val="20"/>
                <w:szCs w:val="20"/>
              </w:rPr>
              <w:t>0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1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1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</w:t>
      </w:r>
      <w:proofErr w:type="gramStart"/>
      <w:r w:rsidRPr="009F6334">
        <w:rPr>
          <w:rFonts w:ascii="Century Gothic" w:hAnsi="Century Gothic" w:cstheme="minorHAnsi"/>
        </w:rPr>
        <w:t>members,</w:t>
      </w:r>
      <w:proofErr w:type="gramEnd"/>
      <w:r w:rsidRPr="009F6334">
        <w:rPr>
          <w:rFonts w:ascii="Century Gothic" w:hAnsi="Century Gothic" w:cstheme="minorHAnsi"/>
        </w:rPr>
        <w:t xml:space="preserve"> these are listed below along with the anticipated level of effort and their roles and responsibilities. </w:t>
      </w:r>
    </w:p>
    <w:tbl>
      <w:tblPr>
        <w:tblStyle w:val="TableGrid"/>
        <w:tblW w:w="889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2000"/>
        <w:gridCol w:w="4710"/>
      </w:tblGrid>
      <w:tr w:rsidR="000E2B9C" w:rsidRPr="007A4556" w:rsidTr="000E2B9C">
        <w:trPr>
          <w:trHeight w:val="321"/>
        </w:trPr>
        <w:tc>
          <w:tcPr>
            <w:tcW w:w="2187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200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4710" w:type="dxa"/>
          </w:tcPr>
          <w:p w:rsidR="000E2B9C" w:rsidRPr="007A4556" w:rsidRDefault="000E2B9C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0E2B9C" w:rsidRPr="00D54CB1" w:rsidTr="000E2B9C">
        <w:trPr>
          <w:trHeight w:val="321"/>
        </w:trPr>
        <w:tc>
          <w:tcPr>
            <w:tcW w:w="2187" w:type="dxa"/>
          </w:tcPr>
          <w:p w:rsidR="000E2B9C" w:rsidRPr="00D54CB1" w:rsidRDefault="000E2B9C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Vivek Sir</w:t>
            </w:r>
          </w:p>
        </w:tc>
        <w:tc>
          <w:tcPr>
            <w:tcW w:w="2000" w:type="dxa"/>
          </w:tcPr>
          <w:p w:rsidR="000E2B9C" w:rsidRPr="00D54CB1" w:rsidRDefault="000E2B9C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hj</w:t>
            </w:r>
          </w:p>
        </w:tc>
        <w:tc>
          <w:tcPr>
            <w:tcW w:w="4710" w:type="dxa"/>
          </w:tcPr>
          <w:p w:rsidR="000E2B9C" w:rsidRPr="00D54CB1" w:rsidRDefault="000E2B9C" w:rsidP="002A4F8F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4</w:t>
            </w:r>
          </w:p>
        </w:tc>
      </w:tr>
    </w:tbl>
    <w:p w:rsidR="006143CD" w:rsidRPr="009F6334" w:rsidRDefault="006143CD" w:rsidP="00F52C04">
      <w:pPr>
        <w:pStyle w:val="Heading1"/>
        <w:rPr>
          <w:rFonts w:cstheme="minorHAnsi"/>
        </w:rPr>
      </w:pPr>
      <w:bookmarkStart w:id="12" w:name="_Toc387150291"/>
      <w:r w:rsidRPr="009F6334">
        <w:rPr>
          <w:rFonts w:cstheme="minorHAnsi"/>
        </w:rPr>
        <w:t>Process and timelines</w:t>
      </w:r>
      <w:bookmarkEnd w:id="12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3" w:name="_Toc381619637"/>
      <w:bookmarkStart w:id="14" w:name="_Toc387150292"/>
      <w:r w:rsidRPr="009F6334">
        <w:rPr>
          <w:rFonts w:cs="Arial"/>
        </w:rPr>
        <w:t>Timeline &amp; milestones</w:t>
      </w:r>
      <w:bookmarkEnd w:id="13"/>
      <w:bookmarkEnd w:id="14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0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="00F452AA" w:rsidRPr="00F452AA">
        <w:rPr>
          <w:rFonts w:ascii="Century Gothic" w:hAnsi="Century Gothic" w:cs="Arial"/>
          <w:b/>
        </w:rPr>
        <w:t xml:space="preserve">01 January 1970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="00F452AA" w:rsidRPr="00F452AA">
        <w:rPr>
          <w:rFonts w:ascii="Century Gothic" w:hAnsi="Century Gothic" w:cs="Arial"/>
          <w:b/>
        </w:rPr>
        <w:t xml:space="preserve">01 January 1970</w:t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3030"/>
      </w:tblGrid>
      <w:tr w:rsidR="00490B2D" w:rsidRPr="009F4502" w:rsidTr="000E2B9C">
        <w:trPr>
          <w:trHeight w:val="265"/>
        </w:trPr>
        <w:tc>
          <w:tcPr>
            <w:tcW w:w="1809" w:type="dxa"/>
          </w:tcPr>
          <w:p w:rsidR="00490B2D" w:rsidRPr="00BE5AD3" w:rsidRDefault="00490B2D" w:rsidP="009B6E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 w:rsidR="009B6EF2">
              <w:rPr>
                <w:rFonts w:ascii="Century Gothic" w:hAnsi="Century Gothic" w:cstheme="minorHAnsi"/>
                <w:color w:val="4F81BD" w:themeColor="accent1"/>
                <w:sz w:val="24"/>
              </w:rPr>
              <w:t>No.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5" w:name="OLE_LINK32"/>
            <w:bookmarkStart w:id="16" w:name="OLE_LINK33"/>
            <w:bookmarkStart w:id="17" w:name="OLE_LINK34"/>
            <w:bookmarkStart w:id="18" w:name="OLE_LINK6"/>
            <w:bookmarkStart w:id="19" w:name="OLE_LINK7"/>
            <w:bookmarkStart w:id="20" w:name="OLE_LINK8"/>
            <w:bookmarkStart w:id="21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3030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302649196239;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16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gr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23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Interface design complete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09 September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fgr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21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Training complete and system live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03 September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rtgr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23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rtrt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23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rttr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22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rtr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22 January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16 September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/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02 September 2014</w:t>
            </w:r>
          </w:p>
        </w:tc>
      </w:tr>
      <w:tr w:rsidR="00490B2D" w:rsidRPr="009F4502" w:rsidTr="000E2B9C">
        <w:trPr>
          <w:trHeight w:val="141"/>
        </w:trPr>
        <w:tc>
          <w:tcPr>
            <w:tcW w:w="1809" w:type="dxa"/>
          </w:tcPr>
          <w:p w:rsidR="00490B2D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058" w:type="dxa"/>
            <w:vAlign w:val="bottom"/>
          </w:tcPr>
          <w:p w:rsidR="00490B2D" w:rsidRPr="009F4502" w:rsidRDefault="00F452AA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F452AA">
              <w:rPr>
                <w:rFonts w:ascii="Century Gothic" w:hAnsi="Century Gothic" w:cs="Arial"/>
                <w:color w:val="000000"/>
                <w:sz w:val="20"/>
                <w:szCs w:val="20"/>
              </w:rPr>
              <w:t>undefined</w:t>
            </w:r>
          </w:p>
        </w:tc>
        <w:tc>
          <w:tcPr>
            <w:tcW w:w="3030" w:type="dxa"/>
          </w:tcPr>
          <w:p w:rsidR="00490B2D" w:rsidRPr="004B7D40" w:rsidRDefault="00F452AA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F452AA">
              <w:rPr>
                <w:rFonts w:ascii="Century Gothic" w:hAnsi="Century Gothic" w:cstheme="minorHAnsi"/>
              </w:rPr>
              <w:t>31 December 2014</w:t>
            </w:r>
          </w:p>
        </w:tc>
      </w:tr>
    </w:tbl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22" w:name="_Toc387150293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cstheme="minorHAnsi"/>
        </w:rPr>
        <w:br w:type="page"/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2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Organisational fit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100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Locations and logistics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Match to functional requirements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Team (technical &amp; relationship)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Referees (your current clients)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References (track record)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Strength of project process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Company history and stability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Value for money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1755F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3" w:name="OLE_LINK39"/>
            <w:bookmarkStart w:id="24" w:name="OLE_LINK40"/>
            <w:bookmarkStart w:id="25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Warrantees (products &amp; services)</w:t>
            </w:r>
            <w:bookmarkEnd w:id="23"/>
            <w:bookmarkEnd w:id="24"/>
          </w:p>
        </w:tc>
        <w:tc>
          <w:tcPr>
            <w:tcW w:w="2513" w:type="dxa"/>
            <w:vAlign w:val="bottom"/>
          </w:tcPr>
          <w:p w:rsidR="0074012E" w:rsidRPr="0074012E" w:rsidRDefault="0074012E" w:rsidP="001755FD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050</w:t>
            </w:r>
          </w:p>
        </w:tc>
      </w:tr>
      <w:bookmarkEnd w:id="25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37" w:name="_Scope:_Features_and"/>
      <w:bookmarkStart w:id="38" w:name="_Toc387150294"/>
      <w:bookmarkEnd w:id="37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38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39" w:name="_Toc387150295"/>
      <w:r>
        <w:t>F</w:t>
      </w:r>
      <w:r w:rsidRPr="009F6334">
        <w:t xml:space="preserve">unctional </w:t>
      </w:r>
      <w:proofErr w:type="gramStart"/>
      <w:r w:rsidRPr="009F6334">
        <w:t>area</w:t>
      </w:r>
      <w:r>
        <w:t>s :</w:t>
      </w:r>
      <w:proofErr w:type="gramEnd"/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39"/>
      <w:r w:rsidR="00B23E7D" w:rsidRPr="009F6334">
        <w:t xml:space="preserve"> </w:t>
      </w:r>
    </w:p>
    <w:p w:rsidR="00B75197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B75197" w:rsidRDefault="00B75197" w:rsidP="00B23E7D">
      <w:pPr>
        <w:rPr>
          <w:rFonts w:ascii="Century Gothic" w:hAnsi="Century Gothic"/>
        </w:rPr>
      </w:pPr>
    </w:p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4"/>
                <w:szCs w:val="24"/>
              </w:rPr>
              <w:t xml:space="preserve">Events Registration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Description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The management of events is a common activity and therefore requirement for Associations and non-profit systems. Its automation often represents dramatic savings because of the high level of manual processing required for each ticket and attendee for every event. 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A list of functional line items relating to Event Registration are provided below for you to include or exclude and to provide a ranking of importance for your project.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Key features include: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br/>
              <w:t xml:space="preserve"> - Events can be quickly and easily published onto the website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Members receive different event pricing to non-members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Registrants can purchase tickets to all events in a suite of events or purchase in groups </w:t>
            </w:r>
          </w:p>
        </w:tc>
        <w:tc>
          <w:tcPr>
            <w:tcW w:w="3225" w:type="dxa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Number of features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2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ROI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$82650/YR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Priority</w:t>
            </w: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br/>
              <w:t xml:space="preserve"> - mandatory, 1 important, 1 nice to have, </w:t>
            </w: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br/>
              <w:t xml:space="preserve">Benefit to:</w:t>
            </w:r>
          </w:p>
          <w:p/>
          <w:p/>
        </w:tc>
      </w:tr>
    </w:tbl>
    <w:p/>
    <w:p w:rsidR="004A4419" w:rsidRDefault="004A4419" w:rsidP="00B75197">
      <w:pPr>
        <w:spacing w:before="40" w:after="40"/>
        <w:rPr>
          <w:rFonts w:ascii="Century Gothic" w:hAnsi="Century Gothic" w:cstheme="minorHAnsi"/>
        </w:rPr>
      </w:pPr>
    </w:p>
    <w:p w:rsidR="00FF70EF" w:rsidRPr="009F6334" w:rsidRDefault="00FF70EF" w:rsidP="00FF70EF">
      <w:pPr>
        <w:pStyle w:val="Heading2"/>
      </w:pPr>
      <w:bookmarkStart w:id="40" w:name="_ROI_&amp;_Benefits"/>
      <w:bookmarkStart w:id="41" w:name="_Toc387150296"/>
      <w:bookmarkEnd w:id="40"/>
      <w:r w:rsidRPr="009F6334">
        <w:t>ROI &amp; Benefits by feature</w:t>
      </w:r>
      <w:bookmarkEnd w:id="41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 xml:space="preserve">related </w:t>
      </w:r>
      <w:proofErr w:type="gramStart"/>
      <w:r w:rsidRPr="009F6334">
        <w:rPr>
          <w:rFonts w:ascii="Century Gothic" w:hAnsi="Century Gothic"/>
        </w:rPr>
        <w:t>features</w:t>
      </w:r>
      <w:r w:rsidR="000032F4" w:rsidRPr="009F6334">
        <w:rPr>
          <w:rFonts w:ascii="Century Gothic" w:hAnsi="Century Gothic"/>
        </w:rPr>
        <w:t>,</w:t>
      </w:r>
      <w:proofErr w:type="gramEnd"/>
      <w:r w:rsidR="000032F4" w:rsidRPr="009F6334">
        <w:rPr>
          <w:rFonts w:ascii="Century Gothic" w:hAnsi="Century Gothic"/>
        </w:rPr>
        <w:t xml:space="preserve">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641601" w:rsidRDefault="00641601" w:rsidP="007D1F84">
      <w:pPr>
        <w:rPr>
          <w:rFonts w:ascii="Century Gothic" w:hAnsi="Century Gothic"/>
        </w:rPr>
      </w:pP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entury Gothic" w:hAnsi="Century Gothic" w:cs="Century Gothic"/>
          <w:color w:val="4F81BD"/>
          <w:sz w:val="24"/>
          <w:szCs w:val="24"/>
        </w:rPr>
        <w:t xml:space="preserve">Events Registration</w:t>
      </w:r>
    </w:p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Events can be quicklyand easily published onto the website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- mandatory, - important, 1 nice to have,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$9/YR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tbl>
      <w:tblPr>
        <w:tblStyle w:val="TableGridPHPDOCX"/>
        <w:tblW w:w="9330" w:type="dxa"/>
        <w:tblCellSpacing w:w="-45" w:type="dxa"/>
        <w:tblInd w:w="0" w:type="auto"/>
        <w:tblBorders>
          <w:top w:val="outset" w:color="000000" w:sz="5"/>
          <w:left w:val="outset" w:color="000000" w:sz="5"/>
          <w:bottom w:val="outset" w:color="000000" w:sz="5"/>
          <w:right w:val="outset" w:color="000000" w:sz="5"/>
        </w:tblBorders>
      </w:tblPr>
      <w:tblGrid>
        <w:gridCol/>
        <w:gridCol/>
      </w:tblGrid>
      <w:tr>
        <w:trPr>
          <w:trHeight w:val="0" w:hRule="atLeast"/>
          <w:jc w:val="left"/>
        </w:trPr>
        <w:tc>
          <w:tcPr>
            <w:gridSpan w:val="2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Events can be browsed via any number of categories and subcategories e.g. by location, by type of event </w:t>
            </w:r>
          </w:p>
        </w:tc>
      </w:tr>
      <w:tr>
        <w:trPr>
          <w:trHeight w:val="0" w:hRule="atLeast"/>
          <w:jc w:val="left"/>
        </w:trPr>
        <w:tc>
          <w:tcPr>
            <w:tcW w:w="520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Notes: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dfgrgr </w:t>
            </w:r>
          </w:p>
        </w:tc>
        <w:tc>
          <w:tcPr>
            <w:tcW w:w="3225" w:type="dxa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Priority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- mandatory, 1 important, 1 nice to have,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ROI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 $82641/YR 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  <w:r>
              <w:rPr>
                <w:rFonts w:ascii="Century Gothic" w:hAnsi="Century Gothic" w:cs="Century Gothic"/>
                <w:b/>
                <w:color w:val="000000"/>
                <w:position w:val="0"/>
                <w:sz w:val="22"/>
                <w:szCs w:val="22"/>
              </w:rPr>
              <w:t xml:space="preserve">Benefit to:</w:t>
            </w:r>
          </w:p>
          <w:p>
            <w:pPr>
              <w:widowControl w:val="on"/>
              <w:pBdr/>
              <w:spacing w:before="218" w:after="218" w:line="240" w:lineRule="auto"/>
              <w:ind w:left="0" w:right="0"/>
              <w:jc w:val="left"/>
              <w:textAlignment w:val="top"/>
            </w:pPr>
          </w:p>
          <w:p/>
        </w:tc>
      </w:tr>
    </w:tbl>
    <w:p/>
    <w:sectPr w:rsidR="00641601" w:rsidSect="007A45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C6E" w:rsidRDefault="00E21C6E" w:rsidP="006830D9">
      <w:pPr>
        <w:spacing w:after="0" w:line="240" w:lineRule="auto"/>
      </w:pPr>
      <w:r>
        <w:separator/>
      </w:r>
    </w:p>
  </w:endnote>
  <w:endnote w:type="continuationSeparator" w:id="0">
    <w:p w:rsidR="00E21C6E" w:rsidRDefault="00E21C6E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19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C6E" w:rsidRDefault="00E21C6E" w:rsidP="006830D9">
      <w:pPr>
        <w:spacing w:after="0" w:line="240" w:lineRule="auto"/>
      </w:pPr>
      <w:r>
        <w:separator/>
      </w:r>
    </w:p>
  </w:footnote>
  <w:footnote w:type="continuationSeparator" w:id="0">
    <w:p w:rsidR="00E21C6E" w:rsidRDefault="00E21C6E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8677981">
    <w:multiLevelType w:val="hybridMultilevel"/>
    <w:lvl w:ilvl="0" w:tplc="4548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14">
    <w:abstractNumId w:val="4"/>
  </w:num>
  <w:num w:numId="68677981">
    <w:abstractNumId w:val="6867798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04DE"/>
    <w:rsid w:val="000032F4"/>
    <w:rsid w:val="0000437F"/>
    <w:rsid w:val="00011E9A"/>
    <w:rsid w:val="00014D9C"/>
    <w:rsid w:val="00042D7B"/>
    <w:rsid w:val="0008548C"/>
    <w:rsid w:val="000A238A"/>
    <w:rsid w:val="000B7989"/>
    <w:rsid w:val="000C619D"/>
    <w:rsid w:val="000D2055"/>
    <w:rsid w:val="000D2E8E"/>
    <w:rsid w:val="000D7261"/>
    <w:rsid w:val="000E064A"/>
    <w:rsid w:val="000E1766"/>
    <w:rsid w:val="000E2B9C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641A6"/>
    <w:rsid w:val="00173896"/>
    <w:rsid w:val="001755FD"/>
    <w:rsid w:val="00190883"/>
    <w:rsid w:val="00190D5F"/>
    <w:rsid w:val="00191184"/>
    <w:rsid w:val="00192AB2"/>
    <w:rsid w:val="001A5504"/>
    <w:rsid w:val="001C1AEF"/>
    <w:rsid w:val="001D20AB"/>
    <w:rsid w:val="001F1702"/>
    <w:rsid w:val="001F22EB"/>
    <w:rsid w:val="001F2701"/>
    <w:rsid w:val="0022406F"/>
    <w:rsid w:val="00230BD5"/>
    <w:rsid w:val="00241AF7"/>
    <w:rsid w:val="0025060B"/>
    <w:rsid w:val="00270862"/>
    <w:rsid w:val="00277BB5"/>
    <w:rsid w:val="002A090A"/>
    <w:rsid w:val="002A4F8F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A4419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64A27"/>
    <w:rsid w:val="005730FD"/>
    <w:rsid w:val="00575552"/>
    <w:rsid w:val="00577DAB"/>
    <w:rsid w:val="005855E8"/>
    <w:rsid w:val="005A4B3B"/>
    <w:rsid w:val="005C25C0"/>
    <w:rsid w:val="005E2399"/>
    <w:rsid w:val="005E61CB"/>
    <w:rsid w:val="005F3054"/>
    <w:rsid w:val="005F4680"/>
    <w:rsid w:val="00601691"/>
    <w:rsid w:val="006143CD"/>
    <w:rsid w:val="00637907"/>
    <w:rsid w:val="00641601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37A5"/>
    <w:rsid w:val="007E631B"/>
    <w:rsid w:val="00813F09"/>
    <w:rsid w:val="0081709D"/>
    <w:rsid w:val="00822835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B6EF2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35C65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37DC5"/>
    <w:rsid w:val="00B4039E"/>
    <w:rsid w:val="00B40D30"/>
    <w:rsid w:val="00B4216C"/>
    <w:rsid w:val="00B54E57"/>
    <w:rsid w:val="00B648EB"/>
    <w:rsid w:val="00B65E2F"/>
    <w:rsid w:val="00B66CC8"/>
    <w:rsid w:val="00B70616"/>
    <w:rsid w:val="00B708AC"/>
    <w:rsid w:val="00B75197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26774"/>
    <w:rsid w:val="00C33BD9"/>
    <w:rsid w:val="00C51176"/>
    <w:rsid w:val="00C55504"/>
    <w:rsid w:val="00C558B5"/>
    <w:rsid w:val="00C769DB"/>
    <w:rsid w:val="00C96B22"/>
    <w:rsid w:val="00CA07D2"/>
    <w:rsid w:val="00CA0D29"/>
    <w:rsid w:val="00CA18EE"/>
    <w:rsid w:val="00CB0E1D"/>
    <w:rsid w:val="00CB469C"/>
    <w:rsid w:val="00CB46EB"/>
    <w:rsid w:val="00CD0D66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D3261"/>
    <w:rsid w:val="00DD6D3E"/>
    <w:rsid w:val="00E01336"/>
    <w:rsid w:val="00E13134"/>
    <w:rsid w:val="00E21C6E"/>
    <w:rsid w:val="00E257E7"/>
    <w:rsid w:val="00E42F71"/>
    <w:rsid w:val="00E442EF"/>
    <w:rsid w:val="00E5096E"/>
    <w:rsid w:val="00E6242A"/>
    <w:rsid w:val="00E70A1B"/>
    <w:rsid w:val="00E9144D"/>
    <w:rsid w:val="00EA348B"/>
    <w:rsid w:val="00EB37E7"/>
    <w:rsid w:val="00EC19D0"/>
    <w:rsid w:val="00ED127A"/>
    <w:rsid w:val="00ED6ADF"/>
    <w:rsid w:val="00EE63EB"/>
    <w:rsid w:val="00F201AF"/>
    <w:rsid w:val="00F30517"/>
    <w:rsid w:val="00F3110D"/>
    <w:rsid w:val="00F42C33"/>
    <w:rsid w:val="00F452AA"/>
    <w:rsid w:val="00F512D8"/>
    <w:rsid w:val="00F52C04"/>
    <w:rsid w:val="00F81B06"/>
    <w:rsid w:val="00FA3180"/>
    <w:rsid w:val="00FA5D28"/>
    <w:rsid w:val="00FD29F8"/>
    <w:rsid w:val="00FD41ED"/>
    <w:rsid w:val="00FD70F0"/>
    <w:rsid w:val="00FE44B8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41bf380ba760" Type="http://schemas.openxmlformats.org/officeDocument/2006/relationships/hyperlink" Target="http://beta.skop.es/wp-content/uploads/companylogos/thumbs/139/preferences_system_bluetooth.png" TargetMode="External"/><Relationship Id="rId1541bf380b9ba7" Type="http://schemas.openxmlformats.org/officeDocument/2006/relationships/image" Target="http://beta.skop.es/wp-content/uploads/companylogos/thumbs/139/preferences_system_bluetooth.pn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1DF624-EA86-42D8-80E5-90C4055D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217</cp:revision>
  <cp:lastPrinted>2014-05-13T02:22:00Z</cp:lastPrinted>
  <dcterms:created xsi:type="dcterms:W3CDTF">2014-02-03T05:19:00Z</dcterms:created>
  <dcterms:modified xsi:type="dcterms:W3CDTF">2014-09-17T23:25:00Z</dcterms:modified>
</cp:coreProperties>
</file>