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Skop es</w:t>
      </w:r>
    </w:p>
    <w:p w:rsidR="00F266C2" w:rsidRDefault="00F266C2" w:rsidP="009F6334">
      <w:pPr>
        <w:jc w:val="center"/>
        <w:rPr>
          <w:rFonts w:ascii="Century Gothic" w:hAnsi="Century Gothic" w:cs="Arial"/>
          <w:sz w:val="28"/>
        </w:rPr>
      </w:pPr>
      <w:r w:rsidRPr="00F266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319e768b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Art</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Lane number 6 # 321 industrial Area -Mohali</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Mohali, Punjab, ujy</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02 October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Neeraj Attri</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sdsd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dsd</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2439</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4</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98</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7</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2439</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9</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afgrh</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tr</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23</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September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24 September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top position</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r</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sdsd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dsd</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5</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269</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Services/benefits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1625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 Administration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465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Continuing Professional Development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80</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p</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g</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7</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afgrh</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gl</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7</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tr</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glgl</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7</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23</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September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24 September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df</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fd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09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sdd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23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dfdf</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fdfd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fdfsf</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9</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fd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10</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fdf</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df</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24 September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5</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$269/YR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5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s</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Services/benefits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position w:val="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can update there own details at any time</w:t>
            </w:r>
            <w:r>
              <w:rPr>
                <w:rFonts w:ascii="Century Gothic" w:hAnsi="Century Gothic" w:cs="Century Gothic"/>
                <w:color w:val="000000"/>
                <w:position w:val="0"/>
                <w:sz w:val="22"/>
                <w:szCs w:val="22"/>
              </w:rPr>
              <w:br/>
              <w:t xml:space="preserve"> - Different levels of memberships can have access to different information/services</w:t>
            </w:r>
            <w:r>
              <w:rPr>
                <w:rFonts w:ascii="Century Gothic" w:hAnsi="Century Gothic" w:cs="Century Gothic"/>
                <w:color w:val="000000"/>
                <w:position w:val="0"/>
                <w:sz w:val="22"/>
                <w:szCs w:val="22"/>
              </w:rPr>
              <w:br/>
              <w:t xml:space="preserve"> - Non-members (contacts or lapsed members) can also update details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$1625/YR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 Administration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Seating allocation can be done automatically but with manual override as required</w:t>
            </w:r>
            <w:r>
              <w:rPr>
                <w:rFonts w:ascii="Century Gothic" w:hAnsi="Century Gothic" w:cs="Century Gothic"/>
                <w:color w:val="000000"/>
                <w:position w:val="0"/>
                <w:sz w:val="22"/>
                <w:szCs w:val="22"/>
              </w:rPr>
              <w:br/>
              <w:t xml:space="preserve"> - Name tags can be automatically generated for event</w:t>
            </w:r>
            <w:r>
              <w:rPr>
                <w:rFonts w:ascii="Century Gothic" w:hAnsi="Century Gothic" w:cs="Century Gothic"/>
                <w:color w:val="000000"/>
                <w:position w:val="0"/>
                <w:sz w:val="22"/>
                <w:szCs w:val="22"/>
              </w:rPr>
              <w:br/>
              <w:t xml:space="preserve"> - Follow up emails can be sent to both attendees and non-attendees after event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$465/YR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Continuing Professional Development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Associations focus on assisting in improve industry standards by providing, monitoring and rewarding members for undertaking ongoing professional development activities. </w:t>
            </w:r>
            <w:r>
              <w:rPr>
                <w:rFonts w:ascii="Century Gothic" w:hAnsi="Century Gothic" w:cs="Century Gothic"/>
                <w:color w:val="000000"/>
                <w:position w:val="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CPD goals and points can be set-up flexibility in the system</w:t>
            </w:r>
            <w:r>
              <w:rPr>
                <w:rFonts w:ascii="Century Gothic" w:hAnsi="Century Gothic" w:cs="Century Gothic"/>
                <w:color w:val="000000"/>
                <w:position w:val="0"/>
                <w:sz w:val="22"/>
                <w:szCs w:val="22"/>
              </w:rPr>
              <w:br/>
              <w:t xml:space="preserve"> - Members can be prevented from renewing their membership if CPD goal(s) have not been met</w:t>
            </w:r>
            <w:r>
              <w:rPr>
                <w:rFonts w:ascii="Century Gothic" w:hAnsi="Century Gothic" w:cs="Century Gothic"/>
                <w:color w:val="000000"/>
                <w:position w:val="0"/>
                <w:sz w:val="22"/>
                <w:szCs w:val="22"/>
              </w:rPr>
              <w:br/>
              <w:t xml:space="preserve"> - Members can track and manage their own CPD record e.g. to add external activities that qualify for CPD recognition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$80/YR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r>
              <w:rPr>
                <w:rFonts w:ascii="Century Gothic" w:hAnsi="Century Gothic" w:cs="Century Gothic"/>
                <w:color w:val="000000"/>
                <w:position w:val="0"/>
                <w:sz w:val="22"/>
                <w:szCs w:val="22"/>
              </w:rPr>
              <w:br/>
              <w:t xml:space="preserve"> jhmjmium </w:t>
            </w:r>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appropriate fees can be paid via the website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Corporations can apply for membership and nominate employees to receive membership benefits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types are supported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s</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Services/benefits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$1625/YR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 Administration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$465/YR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Continuing Professional Development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event attendance attracts PD points, points are awarded automatically when attendance is confirmed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2F2" w:rsidRDefault="005662F2" w:rsidP="006830D9">
      <w:pPr>
        <w:spacing w:after="0" w:line="240" w:lineRule="auto"/>
      </w:pPr>
      <w:r>
        <w:separator/>
      </w:r>
    </w:p>
  </w:endnote>
  <w:endnote w:type="continuationSeparator" w:id="1">
    <w:p w:rsidR="005662F2" w:rsidRDefault="005662F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2F2" w:rsidRDefault="005662F2" w:rsidP="006830D9">
      <w:pPr>
        <w:spacing w:after="0" w:line="240" w:lineRule="auto"/>
      </w:pPr>
      <w:r>
        <w:separator/>
      </w:r>
    </w:p>
  </w:footnote>
  <w:footnote w:type="continuationSeparator" w:id="1">
    <w:p w:rsidR="005662F2" w:rsidRDefault="005662F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027698">
    <w:multiLevelType w:val="hybridMultilevel"/>
    <w:lvl w:ilvl="0" w:tplc="752140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64027698">
    <w:abstractNumId w:val="640276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319e768b0" Type="http://schemas.openxmlformats.org/officeDocument/2006/relationships/image" Target="media/ICC_Logo_300dpi.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218</cp:revision>
  <cp:lastPrinted>2014-05-13T02:22:00Z</cp:lastPrinted>
  <dcterms:created xsi:type="dcterms:W3CDTF">2014-02-03T05:19:00Z</dcterms:created>
  <dcterms:modified xsi:type="dcterms:W3CDTF">2014-10-02T11:04:00Z</dcterms:modified>
</cp:coreProperties>
</file>