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r w:rsidRPr="009F6334">
        <w:rPr>
          <w:rFonts w:ascii="Century Gothic" w:hAnsi="Century Gothic" w:cs="Arial"/>
          <w:color w:val="1F497D" w:themeColor="text2"/>
          <w:sz w:val="52"/>
        </w:rPr>
        <w:t xml:space="preserve"> </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Juliana Project</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w:r>
      <w:r>
        <w:rPr>
          <w:color w:val="000000"/>
          <w:sz w:val="24"/>
          <w:szCs w:val="24"/>
        </w:rPr>
        <w:drawing>
          <wp:inline distT="0" distB="0" distL="0" distR="0">
            <wp:extent cx="2160000" cy="1310400"/>
            <wp:docPr id="70716097" name="name1542be45c66925" descr="215739_547711931908117_28967614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739_547711931908117_289676141_n.jpg"/>
                    <pic:cNvPicPr/>
                  </pic:nvPicPr>
                  <pic:blipFill>
                    <a:blip r:link="rId1542be45c65e74" cstate="print"/>
                    <a:stretch>
                      <a:fillRect/>
                    </a:stretch>
                  </pic:blipFill>
                  <pic:spPr>
                    <a:xfrm>
                      <a:off x="0" y="0"/>
                      <a:ext cx="2160000" cy="1310400"/>
                    </a:xfrm>
                    <a:prstGeom prst="rect">
                      <a:avLst/>
                    </a:prstGeom>
                    <a:ln w="0">
                      <a:noFill/>
                    </a:ln>
                  </pic:spPr>
                </pic:pic>
              </a:graphicData>
            </a:graphic>
          </wp:inline>
        </w:drawing>
      </w:r>
      <w:r>
        <w:t xml:space="preserve"/>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&lt;script type="text/javascript"&gt;</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&lt;script type="text/javascript"&gt;</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&lt;script type="text/javascript"&gt;, &lt;script type="text/javascript"&gt;, &lt;script type="text/javascript"&gt;</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01 October 2014</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t xml:space="preserve">Vivek Mahajan</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bnmnbmbn</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bnmbnm</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5223</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7</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93</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1</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7</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5223</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76676</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Vivek Mahajan</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Kimti</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25</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04 September 2014</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target completion date is: </w:t>
      </w:r>
      <w:r w:rsidR="00F452AA" w:rsidRPr="00F452AA">
        <w:rPr>
          <w:rFonts w:ascii="Century Gothic" w:hAnsi="Century Gothic" w:cs="Arial"/>
          <w:b/>
        </w:rPr>
        <w:t xml:space="preserve">29 September 2014</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&lt;ol&gt;&lt;li&gt;About Your Organisation: When all the questions in &lt;a rel="nofollow" href="http://beta.skop.es/?act=aboutcompany"&gt;http://beta.skop.es/?act=aboutcompany&lt;/a&gt; are complete, '&lt;span&gt;Provide background about your organisation' from Step 2&lt;/span&gt; (&lt;a rel="nofollow" href="http://beta.skop.es/?act=guide"&gt;http://beta.skop.es/?act=guide&lt;/a&gt;) should automatically turn to a green tick.&lt;/li&gt;&lt;li&gt;About Your Project: When all the questions in &lt;a rel="nofollow" href="http://beta.skop.es/?act=aboutproject"&gt;http://beta.skop.es/?act=aboutproject&lt;/a&gt; are complete, 'Begin inputting project background information&lt;span&gt;' from Step 2&lt;/span&gt; (&lt;a rel="nofollow" href="http://beta.skop.es/?act=guide"&gt;http://beta.skop.es/?act=guide&lt;/a&gt;) should automatically turn to a green tick.&lt;/li&gt;&lt;li&gt;Functional Areas: When all functional areas have been selected (Yes and No), 'Select high-level functional areas that are required' &lt;span&gt;from Step 2&lt;/span&gt; (&lt;a rel="nofollow" href="http://beta.skop.es/?act=guide"&gt;http://beta.skop.es/?act=guide&lt;/a&gt;) should automatically turn to a green tick.&lt;/li&gt;&lt;li&gt;Further Project Details: When all the questions in &lt;a rel="nofollow" href="http://beta.skop.es/?act=moreinfo"&gt;http://beta.skop.es/?act=moreinfo&lt;/a&gt; are complete, 'Complete inputting project background information&lt;span&gt;' from Step 3&lt;/span&gt; (&lt;a rel="nofollow" href="http://beta.skop.es/?act=guide"&gt;http://beta.skop.es/?act=guide&lt;/a&gt;) should automatically turn to a green tick.&lt;/li&gt;&lt;li&gt;Feature Line Items: When all feature line items have been completed, '&lt;span&gt;Input details on features and priorities within each functional area&lt;/span&gt;' &lt;span&gt;from Step 3&lt;/span&gt; (&lt;a rel="nofollow" href="http://beta.skop.es/?act=guide"&gt;http://beta.skop.es/?act=guide&lt;/a&gt;) should automatically turn to a green tick.&lt;/li&gt;&lt;/ol&gt;</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&lt;ol&gt;&lt;li&gt;About Your Organisation: When all the questions in &lt;a rel="nofollow" href="http://beta.skop.es/?act=aboutcompany"&gt;http://beta.skop.es/?act=aboutcompany&lt;/a&gt; are complete, '&lt;span&gt;Provide background about your organisation' from Step 2&lt;/span&gt; (&lt;a rel="nofollow" href="http://beta.skop.es/?act=guide"&gt;http://beta.skop.es/?act=guide&lt;/a&gt;) should automatically turn to a green tick.&lt;/li&gt;&lt;li&gt;About Your Project: When all the questions in &lt;a rel="nofollow" href="http://beta.skop.es/?act=aboutproject"&gt;http://beta.skop.es/?act=aboutproject&lt;/a&gt; are complete, 'Begin inputting project background information&lt;span&gt;' from Step 2&lt;/span&gt; (&lt;a rel="nofollow" href="http://beta.skop.es/?act=guide"&gt;http://beta.skop.es/?act=guide&lt;/a&gt;) should automatically turn to a green tick.&lt;/li&gt;&lt;li&gt;Functional Areas: When all functional areas have been selected (Yes and No), 'Select high-level functional areas that are required' &lt;span&gt;from Step 2&lt;/span&gt; (&lt;a rel="nofollow" href="http://beta.skop.es/?act=guide"&gt;http://beta.skop.es/?act=guide&lt;/a&gt;) should automatically turn to a green tick.&lt;/li&gt;&lt;li&gt;Further Project Details: When all the questions in &lt;a rel="nofollow" href="http://beta.skop.es/?act=moreinfo"&gt;http://beta.skop.es/?act=moreinfo&lt;/a&gt; are complete, 'Complete inputting project background information&lt;span&gt;' from Step 3&lt;/span&gt; (&lt;a rel="nofollow" href="http://beta.skop.es/?act=guide"&gt;http://beta.skop.es/?act=guide&lt;/a&gt;) should automatically turn to a green tick.&lt;/li&gt;&lt;li&gt;Feature Line Items: When all feature line items have been completed, '&lt;span&gt;Input details on features and priorities within each functional area&lt;/span&gt;' &lt;span&gt;from Step 3&lt;/span&gt; (&lt;a rel="nofollow" href="http://beta.skop.es/?act=guide"&gt;http://beta.skop.es/?act=guide&lt;/a&gt;) should automatically turn to a green tick.&lt;/li&gt;&lt;/ol&gt;</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bnmnbmbn</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bnmbnm</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management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528</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Membership renewal</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524</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Marketing Communications</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875</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Events Registration</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176</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Event Administration</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2149</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Continuing Professional Development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704</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Resource Library</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1</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267</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w:t>
      </w:r>
      <w:proofErr w:type="gramStart"/>
      <w:r w:rsidRPr="009F6334">
        <w:rPr>
          <w:rFonts w:ascii="Century Gothic" w:hAnsi="Century Gothic" w:cstheme="minorHAnsi"/>
        </w:rPr>
        <w:t>members,</w:t>
      </w:r>
      <w:proofErr w:type="gramEnd"/>
      <w:r w:rsidRPr="009F6334">
        <w:rPr>
          <w:rFonts w:ascii="Century Gothic" w:hAnsi="Century Gothic" w:cstheme="minorHAnsi"/>
        </w:rPr>
        <w:t xml:space="preserve">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Vivek Mahajan</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dfdf</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43</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Kimti</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dfdsfds</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43</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25</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04 September 2014</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29 September 2014</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04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Supplier engaged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12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3</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Scoping and planning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15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4</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Interface design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18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5</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Development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21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6</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User testing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24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7</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Training complete and system live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27 September 2014</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8</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29 September 2014</w:t>
            </w:r>
          </w:p>
        </w:tc>
      </w:tr>
    </w:tbl>
    <w:p w:rsidR="005855E8" w:rsidRDefault="005855E8">
      <w:pPr>
        <w:rPr>
          <w:rFonts w:ascii="Century Gothic" w:eastAsiaTheme="majorEastAsia" w:hAnsi="Century Gothic" w:cstheme="minorHAnsi"/>
          <w:bCs/>
          <w:color w:val="365F91" w:themeColor="accent1" w:themeShade="BF"/>
          <w:sz w:val="32"/>
          <w:szCs w:val="28"/>
        </w:rPr>
      </w:pPr>
      <w:bookmarkStart w:id="22" w:name="_Toc387150293"/>
      <w:bookmarkEnd w:id="15"/>
      <w:bookmarkEnd w:id="16"/>
      <w:bookmarkEnd w:id="17"/>
      <w:bookmarkEnd w:id="18"/>
      <w:bookmarkEnd w:id="19"/>
      <w:bookmarkEnd w:id="20"/>
      <w:bookmarkEnd w:id="21"/>
      <w:r>
        <w:rPr>
          <w:rFonts w:cstheme="minorHAnsi"/>
        </w:rPr>
        <w:br w:type="page"/>
      </w:r>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 xml:space="preserve">unctional </w:t>
      </w:r>
      <w:proofErr w:type="gramStart"/>
      <w:r w:rsidRPr="009F6334">
        <w:t>area</w:t>
      </w:r>
      <w:r>
        <w:t>s :</w:t>
      </w:r>
      <w:proofErr w:type="gramEnd"/>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management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position w:val="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position w:val="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position w:val="0"/>
                <w:sz w:val="22"/>
                <w:szCs w:val="22"/>
              </w:rPr>
              <w:br/>
              <w:br/>
              <w:t xml:space="preserve"> Key Membership Management features include:</w:t>
            </w:r>
            <w:r>
              <w:rPr>
                <w:rFonts w:ascii="Century Gothic" w:hAnsi="Century Gothic" w:cs="Century Gothic"/>
                <w:color w:val="000000"/>
                <w:position w:val="0"/>
                <w:sz w:val="22"/>
                <w:szCs w:val="22"/>
              </w:rPr>
              <w:br/>
              <w:t xml:space="preserve"> - Membership cycles can be defined (calendar year, pro-rater etc)</w:t>
            </w:r>
            <w:r>
              <w:rPr>
                <w:rFonts w:ascii="Century Gothic" w:hAnsi="Century Gothic" w:cs="Century Gothic"/>
                <w:color w:val="000000"/>
                <w:position w:val="0"/>
                <w:sz w:val="22"/>
                <w:szCs w:val="22"/>
              </w:rPr>
              <w:br/>
              <w:t xml:space="preserve"> - Membership levels and pricing can be configured</w:t>
            </w:r>
            <w:r>
              <w:rPr>
                <w:rFonts w:ascii="Century Gothic" w:hAnsi="Century Gothic" w:cs="Century Gothic"/>
                <w:color w:val="000000"/>
                <w:position w:val="0"/>
                <w:sz w:val="22"/>
                <w:szCs w:val="22"/>
              </w:rPr>
              <w:br/>
              <w:t xml:space="preserve"> - Membership reporting tools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$528/YR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r>
              <w:rPr>
                <w:rFonts w:ascii="Century Gothic" w:hAnsi="Century Gothic" w:cs="Century Gothic"/>
                <w:color w:val="000000"/>
                <w:position w:val="0"/>
                <w:sz w:val="22"/>
                <w:szCs w:val="22"/>
              </w:rPr>
              <w:br/>
              <w:t xml:space="preserve"> ddsfds </w:t>
            </w:r>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Membership renewal</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Allowing members to renew through your website in a simple and intuitive way will also create significant cost savings.</w:t>
            </w:r>
            <w:r>
              <w:rPr>
                <w:rFonts w:ascii="Century Gothic" w:hAnsi="Century Gothic" w:cs="Century Gothic"/>
                <w:color w:val="000000"/>
                <w:position w:val="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t xml:space="preserve"> - Automated notifications of membership expiry</w:t>
            </w:r>
            <w:r>
              <w:rPr>
                <w:rFonts w:ascii="Century Gothic" w:hAnsi="Century Gothic" w:cs="Century Gothic"/>
                <w:color w:val="000000"/>
                <w:position w:val="0"/>
                <w:sz w:val="22"/>
                <w:szCs w:val="22"/>
              </w:rPr>
              <w:br/>
              <w:t xml:space="preserve"> - Members can modify their membership types, interests and settings</w:t>
            </w:r>
            <w:r>
              <w:rPr>
                <w:rFonts w:ascii="Century Gothic" w:hAnsi="Century Gothic" w:cs="Century Gothic"/>
                <w:color w:val="000000"/>
                <w:position w:val="0"/>
                <w:sz w:val="22"/>
                <w:szCs w:val="22"/>
              </w:rPr>
              <w:br/>
              <w:t xml:space="preserve"> - Online payments processed for renewals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$524/YR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r>
              <w:rPr>
                <w:rFonts w:ascii="Century Gothic" w:hAnsi="Century Gothic" w:cs="Century Gothic"/>
                <w:color w:val="000000"/>
                <w:position w:val="0"/>
                <w:sz w:val="22"/>
                <w:szCs w:val="22"/>
              </w:rPr>
              <w:br/>
              <w:t xml:space="preserve"> test notes 2222 </w:t>
            </w:r>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Marketing Communications</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position w:val="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t xml:space="preserve"> - Newsletters (as well as notifications to individuals) can be sent from the system</w:t>
            </w:r>
            <w:r>
              <w:rPr>
                <w:rFonts w:ascii="Century Gothic" w:hAnsi="Century Gothic" w:cs="Century Gothic"/>
                <w:color w:val="000000"/>
                <w:position w:val="0"/>
                <w:sz w:val="22"/>
                <w:szCs w:val="22"/>
              </w:rPr>
              <w:br/>
              <w:t xml:space="preserve"> - Subsets of database can be chosen based on a range of profile information and/or custom segments</w:t>
            </w:r>
            <w:r>
              <w:rPr>
                <w:rFonts w:ascii="Century Gothic" w:hAnsi="Century Gothic" w:cs="Century Gothic"/>
                <w:color w:val="000000"/>
                <w:position w:val="0"/>
                <w:sz w:val="22"/>
                <w:szCs w:val="22"/>
              </w:rPr>
              <w:br/>
              <w:t xml:space="preserve"> - Statistics are available to allow analysis of success of communication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$875/YR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Events Registration</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position w:val="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Events can be quickly and easily published onto the website</w:t>
            </w:r>
            <w:r>
              <w:rPr>
                <w:rFonts w:ascii="Century Gothic" w:hAnsi="Century Gothic" w:cs="Century Gothic"/>
                <w:color w:val="000000"/>
                <w:position w:val="0"/>
                <w:sz w:val="22"/>
                <w:szCs w:val="22"/>
              </w:rPr>
              <w:br/>
              <w:t xml:space="preserve"> - Members receive different event pricing to non-members</w:t>
            </w:r>
            <w:r>
              <w:rPr>
                <w:rFonts w:ascii="Century Gothic" w:hAnsi="Century Gothic" w:cs="Century Gothic"/>
                <w:color w:val="000000"/>
                <w:position w:val="0"/>
                <w:sz w:val="22"/>
                <w:szCs w:val="22"/>
              </w:rPr>
              <w:br/>
              <w:t xml:space="preserve"> - Registrants can purchase tickets to all events in a suite of events or purchase in groups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$176/YR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Event Administration</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Seating allocation can be done automatically but with manual override as required</w:t>
            </w:r>
            <w:r>
              <w:rPr>
                <w:rFonts w:ascii="Century Gothic" w:hAnsi="Century Gothic" w:cs="Century Gothic"/>
                <w:color w:val="000000"/>
                <w:position w:val="0"/>
                <w:sz w:val="22"/>
                <w:szCs w:val="22"/>
              </w:rPr>
              <w:br/>
              <w:t xml:space="preserve"> - Name tags can be automatically generated for event</w:t>
            </w:r>
            <w:r>
              <w:rPr>
                <w:rFonts w:ascii="Century Gothic" w:hAnsi="Century Gothic" w:cs="Century Gothic"/>
                <w:color w:val="000000"/>
                <w:position w:val="0"/>
                <w:sz w:val="22"/>
                <w:szCs w:val="22"/>
              </w:rPr>
              <w:br/>
              <w:t xml:space="preserve"> - Follow up emails can be sent to both attendees and non-attendees after event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$2149/YR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Continuing Professional Development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Many Associations focus on assisting in improve industry standards by providing, monitoring and rewarding members for undertaking ongoing professional development activities. </w:t>
            </w:r>
            <w:r>
              <w:rPr>
                <w:rFonts w:ascii="Century Gothic" w:hAnsi="Century Gothic" w:cs="Century Gothic"/>
                <w:color w:val="000000"/>
                <w:position w:val="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CPD goals and points can be set-up flexibility in the system</w:t>
            </w:r>
            <w:r>
              <w:rPr>
                <w:rFonts w:ascii="Century Gothic" w:hAnsi="Century Gothic" w:cs="Century Gothic"/>
                <w:color w:val="000000"/>
                <w:position w:val="0"/>
                <w:sz w:val="22"/>
                <w:szCs w:val="22"/>
              </w:rPr>
              <w:br/>
              <w:t xml:space="preserve"> - Members can be prevented from renewing their membership if CPD goal(s) have not been met</w:t>
            </w:r>
            <w:r>
              <w:rPr>
                <w:rFonts w:ascii="Century Gothic" w:hAnsi="Century Gothic" w:cs="Century Gothic"/>
                <w:color w:val="000000"/>
                <w:position w:val="0"/>
                <w:sz w:val="22"/>
                <w:szCs w:val="22"/>
              </w:rPr>
              <w:br/>
              <w:t xml:space="preserve"> - Members can track and manage their own CPD record e.g. to add external activities that qualify for CPD recognition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$704/YR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Resource Library</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position w:val="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Resources within the resource library can be publicly available or restricted to members</w:t>
            </w:r>
            <w:r>
              <w:rPr>
                <w:rFonts w:ascii="Century Gothic" w:hAnsi="Century Gothic" w:cs="Century Gothic"/>
                <w:color w:val="000000"/>
                <w:position w:val="0"/>
                <w:sz w:val="22"/>
                <w:szCs w:val="22"/>
              </w:rPr>
              <w:br/>
              <w:t xml:space="preserve"> - Metadata to be assigned to resources can be configured</w:t>
            </w:r>
            <w:r>
              <w:rPr>
                <w:rFonts w:ascii="Century Gothic" w:hAnsi="Century Gothic" w:cs="Century Gothic"/>
                <w:color w:val="000000"/>
                <w:position w:val="0"/>
                <w:sz w:val="22"/>
                <w:szCs w:val="22"/>
              </w:rPr>
              <w:br/>
              <w:t xml:space="preserve"> - The resource library can be browsed by category or search/filtered by metadata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1</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$267/YR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 0 mandatory, 0 important, 1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 xml:space="preserve">related </w:t>
      </w:r>
      <w:proofErr w:type="gramStart"/>
      <w:r w:rsidRPr="009F6334">
        <w:rPr>
          <w:rFonts w:ascii="Century Gothic" w:hAnsi="Century Gothic"/>
        </w:rPr>
        <w:t>features</w:t>
      </w:r>
      <w:r w:rsidR="000032F4" w:rsidRPr="009F6334">
        <w:rPr>
          <w:rFonts w:ascii="Century Gothic" w:hAnsi="Century Gothic"/>
        </w:rPr>
        <w:t>,</w:t>
      </w:r>
      <w:proofErr w:type="gramEnd"/>
      <w:r w:rsidR="000032F4" w:rsidRPr="009F6334">
        <w:rPr>
          <w:rFonts w:ascii="Century Gothic" w:hAnsi="Century Gothic"/>
        </w:rPr>
        <w:t xml:space="preserve">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Membership management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 pricing can be configured including early bird discounts, joining fee, late fee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sdsdsa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$528/YR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Membership renewal</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member through renewal workflow are supported -e.g. renewal reminder, renewal acknowledgement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123222222222222222222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$524/YR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Marketing Communications</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Both members can non-members can be targeted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$875/YR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Events Registration</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quicklyand easily published onto the website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$176/YR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Event Administration</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to be captured for an event can be configured and presented to the end user in a consistent layout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$2149/YR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Continuing Professional Development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Any number of different CPD goals can be defined to reflect different requirements for different types of members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$704/YR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Resource Library</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Resources within the resource library can be publicly available or restricted to members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Nice to have</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$267/YR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sectPr w:rsidR="00641601" w:rsidSect="007A4556">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C6E" w:rsidRDefault="00E21C6E" w:rsidP="006830D9">
      <w:pPr>
        <w:spacing w:after="0" w:line="240" w:lineRule="auto"/>
      </w:pPr>
      <w:r>
        <w:separator/>
      </w:r>
    </w:p>
  </w:endnote>
  <w:endnote w:type="continuationSeparator" w:id="0">
    <w:p w:rsidR="00E21C6E" w:rsidRDefault="00E21C6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01 October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C6E" w:rsidRDefault="00E21C6E" w:rsidP="006830D9">
      <w:pPr>
        <w:spacing w:after="0" w:line="240" w:lineRule="auto"/>
      </w:pPr>
      <w:r>
        <w:separator/>
      </w:r>
    </w:p>
  </w:footnote>
  <w:footnote w:type="continuationSeparator" w:id="0">
    <w:p w:rsidR="00E21C6E" w:rsidRDefault="00E21C6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283339">
    <w:multiLevelType w:val="hybridMultilevel"/>
    <w:lvl w:ilvl="0" w:tplc="346648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14283339">
    <w:abstractNumId w:val="142833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4191F"/>
    <w:rsid w:val="00377443"/>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30A9E"/>
    <w:rsid w:val="005407E2"/>
    <w:rsid w:val="00564A27"/>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30517"/>
    <w:rsid w:val="00F3110D"/>
    <w:rsid w:val="00F42C33"/>
    <w:rsid w:val="00F452AA"/>
    <w:rsid w:val="00F512D8"/>
    <w:rsid w:val="00F52C04"/>
    <w:rsid w:val="00F81B06"/>
    <w:rsid w:val="00FA3180"/>
    <w:rsid w:val="00FA5D28"/>
    <w:rsid w:val="00FD29F8"/>
    <w:rsid w:val="00FD41ED"/>
    <w:rsid w:val="00FD70F0"/>
    <w:rsid w:val="00FE44B8"/>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2be45c65e74" Type="http://schemas.openxmlformats.org/officeDocument/2006/relationships/image" Target="http://beta.skop.es/wp-content/uploads/companylogos/thumbs/202/215739_547711931908117_289676141_n.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8</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217</cp:revision>
  <cp:lastPrinted>2014-05-13T02:22:00Z</cp:lastPrinted>
  <dcterms:created xsi:type="dcterms:W3CDTF">2014-02-03T05:19:00Z</dcterms:created>
  <dcterms:modified xsi:type="dcterms:W3CDTF">2014-09-17T23:25:00Z</dcterms:modified>
</cp:coreProperties>
</file>