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Test</w:t>
      </w:r>
    </w:p>
    <w:p w:rsidR="00F266C2" w:rsidRDefault="00F266C2" w:rsidP="009F6334">
      <w:pPr>
        <w:jc w:val="center"/>
        <w:rPr>
          <w:rFonts w:ascii="Century Gothic" w:hAnsi="Century Gothic" w:cs="Arial"/>
          <w:sz w:val="28"/>
        </w:rPr>
      </w:pPr>
      <w:r w:rsidRPr="00F266C2">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cabb92144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test</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test Two</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test, sdfsafdsaf, 160048</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31 January 2015</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Kill Bill</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dsfg dsg dgssgdsgdgdg sdgdsg gjhgfju6u65u5</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gdsgdsg dsgdsgdsg</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20025</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1</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2</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1</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20025</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800</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Vivek Mahajan</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DigVijay R</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sdfsfsdf</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02 October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31 October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dsdsfsdfsfsd</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fsdfdsfdsfsdfsdf</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dsfg dsg dgssgdsgdgdg sdgdsg gjhgfju6u65u5</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gdsgdsg dsgdsgdsg</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20025</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Vivek Mahajan</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Team lead</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DigVijay R</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Developer</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sdfsfsdf</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dhgfhfg</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20</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02 October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31 October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02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03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03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04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04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08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31 October 2014</w:t>
            </w:r>
          </w:p>
        </w:tc>
      </w:tr>
    </w:tbl>
    <w:p w:rsidR="00DB2B49" w:rsidRDefault="00DB2B49">
      <w:pPr>
        <w:rPr>
          <w:rFonts w:cstheme="minorHAnsi"/>
        </w:rPr>
      </w:pPr>
      <w:bookmarkStart w:id="22" w:name="_Toc387150293"/>
      <w:bookmarkEnd w:id="15"/>
      <w:bookmarkEnd w:id="16"/>
      <w:bookmarkEnd w:id="17"/>
      <w:bookmarkEnd w:id="18"/>
      <w:bookmarkEnd w:id="19"/>
      <w:bookmarkEnd w:id="20"/>
      <w:bookmarkEnd w:id="21"/>
    </w:p>
    <w:p w:rsidR="00DB2B49" w:rsidRDefault="00DB2B49">
      <w:pPr>
        <w:rPr>
          <w:rFonts w:cstheme="minorHAnsi"/>
        </w:rPr>
      </w:pPr>
    </w:p>
    <w:p w:rsidR="00DB2B49" w:rsidRDefault="00DB2B49">
      <w:pPr>
        <w:rPr>
          <w:rFonts w:cstheme="minorHAnsi"/>
        </w:rPr>
      </w:pPr>
    </w:p>
    <w:p w:rsidR="00DB2B49" w:rsidRDefault="00DB2B49" w:rsidP="00F52C04">
      <w:pPr>
        <w:pStyle w:val="Heading1"/>
        <w:rPr>
          <w:rFonts w:cstheme="minorHAnsi"/>
        </w:rPr>
      </w:pPr>
      <w:r w:rsidRPr="00DB2B49">
        <w:rPr>
          <w:rFonts w:cstheme="minorHAnsi"/>
        </w:rPr>
        <w:t>Risks and Risk Management</w:t>
      </w:r>
    </w:p>
    <w:p w:rsidR="00DB2B49" w:rsidRDefault="00DB2B49" w:rsidP="00DB2B49">
      <w:pPr>
        <w:rPr>
          <w:rFonts w:ascii="Century Gothic" w:hAnsi="Century Gothic" w:cstheme="minorHAnsi"/>
        </w:rPr>
      </w:pPr>
      <w:r w:rsidRPr="00DB2B49">
        <w:rPr>
          <w:rFonts w:ascii="Century Gothic" w:hAnsi="Century Gothic" w:cstheme="minorHAnsi"/>
        </w:rPr>
        <w:t>This project is a significant undertaking and may involve some risk. We are therefore following a risk management program to highlight these risks, mitigate and plan for issues that may arise.</w:t>
      </w:r>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lol</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Person responsible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deliverables</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hight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critical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3</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sdfsfsd</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sdfsf</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sdfsdf</w:t>
            </w:r>
          </w:p>
        </w:tc>
      </w:tr>
    </w:tbl>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Neeraj</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Person responsible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Neeraj</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timeline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hight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critical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5</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sdfsdfdsfs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sfsdfsf</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sfsdfdsf</w:t>
            </w:r>
          </w:p>
        </w:tc>
      </w:tr>
    </w:tbl>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$20025/YR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r>
              <w:rPr>
                <w:rFonts w:ascii="Century Gothic" w:hAnsi="Century Gothic" w:cs="Century Gothic"/>
                <w:color w:val="000000"/>
                <w:position w:val="0"/>
                <w:sz w:val="22"/>
                <w:szCs w:val="22"/>
              </w:rPr>
              <w:br/>
              <w:t xml:space="preserve"> dgfdgdgdfg </w:t>
            </w:r>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sdsfds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$20025/YR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D94" w:rsidRDefault="00551D94" w:rsidP="006830D9">
      <w:pPr>
        <w:spacing w:after="0" w:line="240" w:lineRule="auto"/>
      </w:pPr>
      <w:r>
        <w:separator/>
      </w:r>
    </w:p>
  </w:endnote>
  <w:endnote w:type="continuationSeparator" w:id="1">
    <w:p w:rsidR="00551D94" w:rsidRDefault="00551D9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31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D94" w:rsidRDefault="00551D94" w:rsidP="006830D9">
      <w:pPr>
        <w:spacing w:after="0" w:line="240" w:lineRule="auto"/>
      </w:pPr>
      <w:r>
        <w:separator/>
      </w:r>
    </w:p>
  </w:footnote>
  <w:footnote w:type="continuationSeparator" w:id="1">
    <w:p w:rsidR="00551D94" w:rsidRDefault="00551D9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718724">
    <w:multiLevelType w:val="hybridMultilevel"/>
    <w:lvl w:ilvl="0" w:tplc="8332915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78718724">
    <w:abstractNumId w:val="787187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51D94"/>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B2B49"/>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E51B4"/>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cabb92144e" Type="http://schemas.openxmlformats.org/officeDocument/2006/relationships/image" Target="media/1391620497_Blog_writing_button.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219</cp:revision>
  <cp:lastPrinted>2014-05-13T02:22:00Z</cp:lastPrinted>
  <dcterms:created xsi:type="dcterms:W3CDTF">2014-02-03T05:19:00Z</dcterms:created>
  <dcterms:modified xsi:type="dcterms:W3CDTF">2015-01-19T09:48:00Z</dcterms:modified>
</cp:coreProperties>
</file>