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 xml:space="preserve">test project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test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test address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dfsfdsds, bcvbcv, 56657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30 March 2015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pushpa s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test project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>test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test project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test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31 May 2015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10000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test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fghgfgf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test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gfddfdf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2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vbvbvbbvbv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2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6"/>
          <w:szCs w:val="26"/>
        </w:rPr>
        <w:t xml:space="preserve">Membership Application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Automation of membership processes, and providing the ability for members to self serve, can represent a significant saving (operational efficiency) to your organisation at the same time as providing improved (self) service.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Online membership application and membership processing can also encourage quicker renewals and an increase the overall number of renewals and new member applications. A list of functional line items relating to Membership Application are provided below for you to include or exclude.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Membership Application features are: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Individuals / corporations can apply for membership via the public website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choose applicable options and levels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Communications and payments are handeled by the system</w:t>
      </w:r>
      <w:r>
        <w:rPr>
          <w:rFonts w:ascii="Century Gothic" w:hAnsi="Century Gothic" w:cs="Century Gothic"/>
          <w:color w:val="4F81BD"/>
          <w:sz w:val="26"/>
          <w:szCs w:val="26"/>
        </w:rPr>
        <w:br/>
        <w:br/>
        <w:br/>
        <w:t xml:space="preserve">Continuing Professional Development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Many Associations focus on assisting in improve industry standards by providing, monitoring and rewarding members for undertaking ongoing professional development activities. 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The steps and actions required to be taken by members in this process vary between industries, but many are based on points systems that require tracking. A list of functional line items are provided below for you to include or exclude and to provide a ranking of importance for your project.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Key features include: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br/>
        <w:t xml:space="preserve"> - CPD goals and points can be set-up flexibility in the system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be prevented from renewing their membership if CPD goal(s) have not been met</w:t>
      </w:r>
      <w:r>
        <w:rPr>
          <w:rFonts w:ascii="Century Gothic" w:hAnsi="Century Gothic" w:cs="Century Gothic"/>
          <w:color w:val="000000"/>
          <w:sz w:val="22"/>
          <w:szCs w:val="22"/>
        </w:rPr>
        <w:br/>
        <w:t xml:space="preserve"> - Members can track and manage their own CPD record e.g. to add external activities that qualify for CPD recognition</w:t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10000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65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27 March 2015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31 May 2015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1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Commencement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27 March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Supplier engaged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31 March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Development complete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15 April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4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User testing complete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30 April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Training complete and system live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20 May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6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demo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09 May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7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Completion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31 May 2015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hhhh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hhhh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nnnnn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hhhh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hhh@gmail.com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tbl>
      <w:tblPr>
        <w:tblStyle w:val="NormalTablePHPDOCX"/>
        <w:tblW w:w="9330" w:type="dxa"/>
        <w:tblCellSpacing w:w="-120" w:type="dxa"/>
        <w:tblInd w:w="0" w:type="auto"/>
        <w:tblBorders>
          <w:top w:val="single" w:color="A6A6A6" w:sz="5"/>
          <w:left w:val="single" w:color="A6A6A6" w:sz="5"/>
          <w:bottom w:val="single" w:color="A6A6A6" w:sz="5"/>
          <w:right w:val="single" w:color="A6A6A6" w:sz="5"/>
        </w:tblBorders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Identified risk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type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Likelihood of occurrence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vbvbbvvbbbb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legal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low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description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dgdfdgfgdfgf dfgdgfdgfdf</w:t>
            </w:r>
          </w:p>
        </w:tc>
      </w:tr>
    </w:tbl>
    <w:p/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816" w:rsidRDefault="00480816" w:rsidP="006830D9">
      <w:pPr>
        <w:spacing w:after="0" w:line="240" w:lineRule="auto"/>
      </w:pPr>
      <w:r>
        <w:separator/>
      </w:r>
    </w:p>
  </w:endnote>
  <w:end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30 March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816" w:rsidRDefault="00480816" w:rsidP="006830D9">
      <w:pPr>
        <w:spacing w:after="0" w:line="240" w:lineRule="auto"/>
      </w:pPr>
      <w:r>
        <w:separator/>
      </w:r>
    </w:p>
  </w:footnote>
  <w:footnote w:type="continuationSeparator" w:id="1">
    <w:p w:rsidR="00480816" w:rsidRDefault="00480816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610152">
    <w:multiLevelType w:val="hybridMultilevel"/>
    <w:lvl w:ilvl="0" w:tplc="72358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83610152">
    <w:abstractNumId w:val="8361015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0F4B5B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838E9"/>
    <w:rsid w:val="00190953"/>
    <w:rsid w:val="00190D5F"/>
    <w:rsid w:val="00192AB2"/>
    <w:rsid w:val="0019784D"/>
    <w:rsid w:val="001A2A3D"/>
    <w:rsid w:val="001B5B8E"/>
    <w:rsid w:val="001B5E4C"/>
    <w:rsid w:val="001B778C"/>
    <w:rsid w:val="001C1AEF"/>
    <w:rsid w:val="001C68F6"/>
    <w:rsid w:val="001E1B7D"/>
    <w:rsid w:val="001F7BE4"/>
    <w:rsid w:val="0020008E"/>
    <w:rsid w:val="00202637"/>
    <w:rsid w:val="00214B2E"/>
    <w:rsid w:val="0021514E"/>
    <w:rsid w:val="0022062D"/>
    <w:rsid w:val="00231E38"/>
    <w:rsid w:val="00236FCB"/>
    <w:rsid w:val="0024591E"/>
    <w:rsid w:val="002557BB"/>
    <w:rsid w:val="00257896"/>
    <w:rsid w:val="002600C2"/>
    <w:rsid w:val="00261970"/>
    <w:rsid w:val="00261E71"/>
    <w:rsid w:val="00277785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05099"/>
    <w:rsid w:val="004232B4"/>
    <w:rsid w:val="00426E5B"/>
    <w:rsid w:val="00434794"/>
    <w:rsid w:val="004438F2"/>
    <w:rsid w:val="004456E0"/>
    <w:rsid w:val="0045067F"/>
    <w:rsid w:val="00457DF9"/>
    <w:rsid w:val="00463292"/>
    <w:rsid w:val="00466731"/>
    <w:rsid w:val="00474DC1"/>
    <w:rsid w:val="00480816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163EC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464A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25F62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35B66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671B3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39C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Vivek</cp:lastModifiedBy>
  <cp:revision>57</cp:revision>
  <dcterms:created xsi:type="dcterms:W3CDTF">2014-05-22T03:09:00Z</dcterms:created>
  <dcterms:modified xsi:type="dcterms:W3CDTF">2015-02-19T10:29:00Z</dcterms:modified>
</cp:coreProperties>
</file>