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Project L3</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fa188e82da">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LCubed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Level 1, 228 Swan Street</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Richmond, VIC, 12</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03 December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Juliana Koh</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Project L3</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LCubed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Membership Application</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Events Registration</w:t>
      </w:r>
      <w:r>
        <w:rPr>
          <w:color w:val="000000"/>
          <w:sz w:val="24"/>
          <w:szCs w:val="24"/>
        </w:rPr>
        <w:br/>
        <w:br/>
        <w:t xml:space="preserve">              </w:t>
      </w:r>
      <w:r>
        <w:rPr>
          <w:rFonts w:ascii="Century Gothic" w:hAnsi="Century Gothic" w:cs="Century Gothic"/>
          <w:color w:val="000000"/>
          <w:sz w:val="22"/>
          <w:szCs w:val="22"/>
        </w:rPr>
        <w:t xml:space="preserve">Website Content Management</w:t>
      </w:r>
      <w:r>
        <w:rPr>
          <w:color w:val="000000"/>
          <w:sz w:val="24"/>
          <w:szCs w:val="24"/>
        </w:rPr>
        <w:br/>
        <w:br/>
        <w:t xml:space="preserve">              </w:t>
      </w:r>
      <w:r>
        <w:rPr>
          <w:rFonts w:ascii="Century Gothic" w:hAnsi="Century Gothic" w:cs="Century Gothic"/>
          <w:color w:val="000000"/>
          <w:sz w:val="22"/>
          <w:szCs w:val="22"/>
        </w:rPr>
        <w:t xml:space="preserve">Resource Library</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Individuals can apply for membership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Renewals are open for a defined period of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Metadata to be assigned to resources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resource library can be browsed by category or search/filtered by metadata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576993">
    <w:multiLevelType w:val="hybridMultilevel"/>
    <w:lvl w:ilvl="0" w:tplc="543157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98576993">
    <w:abstractNumId w:val="985769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fa188e82da"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