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Skop es</w:t>
      </w:r>
    </w:p>
    <w:p w:rsidR="00D25D5B" w:rsidRDefault="00D25D5B" w:rsidP="00AE677D">
      <w:pPr>
        <w:jc w:val="center"/>
        <w:rPr>
          <w:rFonts w:ascii="Century Gothic" w:hAnsi="Century Gothic" w:cs="Arial"/>
          <w:sz w:val="28"/>
        </w:rPr>
      </w:pPr>
      <w:r w:rsidRPr="00D25D5B">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2d31ed142bc">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Art</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Lane number 6 # 321 industrial Area -Mohali</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Mohali, Punjab, ujy</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02 October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Neeraj Attri</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Skop es</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Art</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Membership Application</w:t>
      </w:r>
      <w:r>
        <w:rPr>
          <w:color w:val="000000"/>
          <w:sz w:val="24"/>
          <w:szCs w:val="24"/>
        </w:rPr>
        <w:br/>
        <w:br/>
        <w:t xml:space="preserve">              </w:t>
      </w:r>
      <w:r>
        <w:rPr>
          <w:rFonts w:ascii="Century Gothic" w:hAnsi="Century Gothic" w:cs="Century Gothic"/>
          <w:color w:val="000000"/>
          <w:sz w:val="22"/>
          <w:szCs w:val="22"/>
        </w:rPr>
        <w:t xml:space="preserve">Member Services/benefits</w:t>
      </w:r>
      <w:r>
        <w:rPr>
          <w:color w:val="000000"/>
          <w:sz w:val="24"/>
          <w:szCs w:val="24"/>
        </w:rPr>
        <w:br/>
        <w:br/>
        <w:t xml:space="preserve">              </w:t>
      </w:r>
      <w:r>
        <w:rPr>
          <w:rFonts w:ascii="Century Gothic" w:hAnsi="Century Gothic" w:cs="Century Gothic"/>
          <w:color w:val="000000"/>
          <w:sz w:val="22"/>
          <w:szCs w:val="22"/>
        </w:rPr>
        <w:t xml:space="preserve">Event Administration</w:t>
      </w:r>
      <w:r>
        <w:rPr>
          <w:color w:val="000000"/>
          <w:sz w:val="24"/>
          <w:szCs w:val="24"/>
        </w:rPr>
        <w:br/>
        <w:br/>
        <w:t xml:space="preserve">              </w:t>
      </w:r>
      <w:r>
        <w:rPr>
          <w:rFonts w:ascii="Century Gothic" w:hAnsi="Century Gothic" w:cs="Century Gothic"/>
          <w:color w:val="000000"/>
          <w:sz w:val="22"/>
          <w:szCs w:val="22"/>
        </w:rPr>
        <w:t xml:space="preserve">Continuing Professional Development</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Where appropriate fees can be paid via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Corporations can apply for membership and nominate employees to receive membership benefits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membership types are supported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applicant through application workflow are supported -e.g. application acknowledge, application approval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Where event attendance attracts PD points, points are awarded automatically when attendance is confirmed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F19" w:rsidRDefault="00B14F19" w:rsidP="006830D9">
      <w:pPr>
        <w:spacing w:after="0" w:line="240" w:lineRule="auto"/>
      </w:pPr>
      <w:r>
        <w:separator/>
      </w:r>
    </w:p>
  </w:endnote>
  <w:endnote w:type="continuationSeparator" w:id="1">
    <w:p w:rsidR="00B14F19" w:rsidRDefault="00B14F1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02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F19" w:rsidRDefault="00B14F19" w:rsidP="006830D9">
      <w:pPr>
        <w:spacing w:after="0" w:line="240" w:lineRule="auto"/>
      </w:pPr>
      <w:r>
        <w:separator/>
      </w:r>
    </w:p>
  </w:footnote>
  <w:footnote w:type="continuationSeparator" w:id="1">
    <w:p w:rsidR="00B14F19" w:rsidRDefault="00B14F1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339642">
    <w:multiLevelType w:val="hybridMultilevel"/>
    <w:lvl w:ilvl="0" w:tplc="830986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37339642">
    <w:abstractNumId w:val="373396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2d31ed142bc" Type="http://schemas.openxmlformats.org/officeDocument/2006/relationships/image" Target="media/ICC_Logo_300dpi.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104</cp:revision>
  <dcterms:created xsi:type="dcterms:W3CDTF">2014-02-04T03:21:00Z</dcterms:created>
  <dcterms:modified xsi:type="dcterms:W3CDTF">2014-10-02T11:05:00Z</dcterms:modified>
</cp:coreProperties>
</file>