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Your project name</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994400"/>
            <wp:docPr id="49198231" name="name1541f9c7a5fe67"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1f9c7a5f69e" cstate="print"/>
                    <a:stretch>
                      <a:fillRect/>
                    </a:stretch>
                  </pic:blipFill>
                  <pic:spPr>
                    <a:xfrm>
                      <a:off x="0" y="0"/>
                      <a:ext cx="2160000" cy="1994400"/>
                    </a:xfrm>
                    <a:prstGeom prst="rect">
                      <a:avLst/>
                    </a:prstGeom>
                    <a:ln w="0">
                      <a:noFill/>
                    </a:ln>
                  </pic:spPr>
                </pic:pic>
              </a:graphicData>
            </a:graphic>
          </wp:inline>
        </w:drawing>
      </w:r>
      <w:hyperlink r:id="rId1541f9c7a60a1d" w:history="1">
        <w:r>
          <w:rPr>
            <w:color w:val="0000CC"/>
            <w:sz w:val="24"/>
            <w:szCs w:val="24"/>
            <w:u w:val="single"/>
          </w:rPr>
          <w:br/>
          <w:t xml:space="preserve">Click here to see Company Logo</w:t>
        </w:r>
      </w:hyperlink>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LCubed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Level 1, 228 Swan Street</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Richmond, VIC, 3121</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22 September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Juliana Koh</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Your project name</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LCubed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95</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9</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August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LCubed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Projects contribution to your organisations mission</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Project contribution to (medium term) organisational goals</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test3</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test3</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Responsibility1</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test1</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erwrw</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test2</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rtert</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test4</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tetet</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01 August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31 August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01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02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04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10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14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17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20 August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31 August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95</w:t>
      </w:r>
      <w:r w:rsidRPr="00021F03">
        <w:rPr>
          <w:rFonts w:ascii="Century Gothic" w:hAnsi="Century Gothic"/>
        </w:rPr>
        <w:t xml:space="preserve"> features, broken into </w:t>
      </w:r>
      <w:r w:rsidR="005922C7" w:rsidRPr="00021F03">
        <w:rPr>
          <w:rFonts w:ascii="Century Gothic" w:hAnsi="Century Gothic" w:cs="Arial"/>
        </w:rPr>
        <w:t xml:space="preserve">9</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kjhjkhj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hfghf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Payments for renewals collected online, and invoices generated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45345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Non-members (contacts or lapsed members) can also update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5546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Different subsets of members can be targeted based on membership type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 likey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 directory is accessible to the general public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terte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about why...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Mandatory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Important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22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4811335">
    <w:multiLevelType w:val="hybridMultilevel"/>
    <w:lvl w:ilvl="0" w:tplc="355523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94811335">
    <w:abstractNumId w:val="948113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f9c7a60a1d" Type="http://schemas.openxmlformats.org/officeDocument/2006/relationships/hyperlink" Target="http://beta.skop.es/wp-content/uploads/companylogos/thumbs/109/cubed_me-01.jpg" TargetMode="External"/><Relationship Id="rId1541f9c7a5f69e" Type="http://schemas.openxmlformats.org/officeDocument/2006/relationships/image" Target="http://beta.skop.es/wp-content/uploads/companylogos/thumbs/10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