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sadsa</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dsfdsf</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dfdsfds</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fdsfdsfdsds, dfsdfds, dsfdsf</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19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Vivek Mahajan</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sadsa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dsfdsf</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5</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11</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19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30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dsfdsf</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fdsfdsf</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dsfdsfds</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dasdd</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sadsadsadd</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Mahajan</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Mahajan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Dheeraj</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11</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19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30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19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25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28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30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t>
            </w:r>
            <w:proofErr w:type="spellStart"/>
            <w:r w:rsidRPr="005425DB">
              <w:rPr>
                <w:rFonts w:ascii="Century Gothic" w:hAnsi="Century Gothic" w:cstheme="minorHAnsi"/>
              </w:rPr>
              <w:t>Eval_Ps</w:t>
            </w:r>
            <w:proofErr w:type="spellEnd"/>
            <w:r w:rsidRPr="005425DB">
              <w:rPr>
                <w:rFonts w:ascii="Century Gothic" w:hAnsi="Century Gothic" w:cstheme="minorHAnsi"/>
              </w:rPr>
              <w: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$Eval_P1_Weights$</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5</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b/>
          <w:color w:val="000000"/>
          <w:sz w:val="24"/>
          <w:szCs w:val="24"/>
        </w:rPr>
        <w:t xml:space="preserve">Complete Specified Functional Areas are not available.</w:t>
      </w:r>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948598">
    <w:multiLevelType w:val="hybridMultilevel"/>
    <w:lvl w:ilvl="0" w:tplc="890109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55948598">
    <w:abstractNumId w:val="559485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