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Default="009C59E9" w:rsidP="00BF72C3">
      <w:pPr>
        <w:jc w:val="center"/>
        <w:rPr>
          <w:rFonts w:ascii="Century Gothic" w:hAnsi="Century Gothic" w:cs="Arial"/>
          <w:b/>
          <w:sz w:val="32"/>
        </w:rPr>
      </w:pPr>
      <w:r w:rsidRPr="009C59E9">
        <w:rPr>
          <w:rFonts w:ascii="Century Gothic" w:hAnsi="Century Gothic" w:cs="Arial"/>
          <w:b/>
          <w:sz w:val="32"/>
        </w:rPr>
        <w:t>$prog_5$</w:t>
      </w:r>
    </w:p>
    <w:p w:rsidR="00DA2C68" w:rsidRDefault="009D23E9" w:rsidP="00BF72C3">
      <w:pPr>
        <w:jc w:val="center"/>
        <w:rPr>
          <w:rFonts w:ascii="Century Gothic" w:hAnsi="Century Gothic" w:cs="Arial"/>
          <w:sz w:val="28"/>
        </w:rPr>
      </w:pPr>
      <w:r w:rsidRPr="009D23E9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1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4502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>$org_2$</w:t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>$org_3$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>$city_state_zip$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>$publishdate$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>$prog_1$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>$prog_5$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>$org_2$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>$</w:t>
      </w:r>
      <w:r w:rsidR="00C95EAC">
        <w:rPr>
          <w:rFonts w:ascii="Century Gothic" w:hAnsi="Century Gothic" w:cs="Arial"/>
          <w:b/>
        </w:rPr>
        <w:t>prog_5</w:t>
      </w:r>
      <w:r w:rsidRPr="00426E5B">
        <w:rPr>
          <w:rFonts w:ascii="Century Gothic" w:hAnsi="Century Gothic" w:cs="Arial"/>
          <w:b/>
        </w:rPr>
        <w:t>$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>$</w:t>
      </w:r>
      <w:r w:rsidR="003862BB">
        <w:rPr>
          <w:rFonts w:ascii="Century Gothic" w:hAnsi="Century Gothic" w:cs="Arial"/>
          <w:b/>
        </w:rPr>
        <w:t>org_2</w:t>
      </w:r>
      <w:r w:rsidRPr="00426E5B">
        <w:rPr>
          <w:rFonts w:ascii="Century Gothic" w:hAnsi="Century Gothic" w:cs="Arial"/>
          <w:b/>
        </w:rPr>
        <w:t>$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>$project_enddate$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>$</w:t>
      </w:r>
      <w:r w:rsidR="00C95EAC">
        <w:rPr>
          <w:rFonts w:ascii="Century Gothic" w:hAnsi="Century Gothic" w:cs="Arial"/>
          <w:b/>
        </w:rPr>
        <w:t>prog_4</w:t>
      </w:r>
      <w:r w:rsidRPr="004B7D40">
        <w:rPr>
          <w:rFonts w:ascii="Century Gothic" w:hAnsi="Century Gothic" w:cs="Arial"/>
          <w:b/>
        </w:rPr>
        <w:t>$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>$org_2$</w:t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>$prog_2$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>$org_2$</w:t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>$prog_3$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>$functionalAreaCount</w:t>
      </w:r>
      <w:r w:rsidR="00B17EA1" w:rsidRPr="009F4502">
        <w:rPr>
          <w:rFonts w:ascii="Century Gothic" w:hAnsi="Century Gothic" w:cs="Arial"/>
          <w:b/>
        </w:rPr>
        <w:t>$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CC5F5A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CC5F5A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$stakeholder_Group$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>$functionalAreaCount$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 w:rsidR="00B01755" w:rsidRPr="0053599E" w:rsidRDefault="0053599E" w:rsidP="00B01755">
      <w:pPr>
        <w:rPr>
          <w:rFonts w:ascii="Century Gothic" w:hAnsi="Century Gothic"/>
        </w:rPr>
      </w:pPr>
      <w:r w:rsidRPr="0053599E">
        <w:rPr>
          <w:rFonts w:ascii="Century Gothic" w:hAnsi="Century Gothic"/>
        </w:rPr>
        <w:t>$functional_text$</w:t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>$prog_4$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>$</w:t>
      </w:r>
      <w:r w:rsidR="00E84AED" w:rsidRPr="009F645F">
        <w:rPr>
          <w:rFonts w:ascii="Century Gothic" w:hAnsi="Century Gothic" w:cs="Arial"/>
          <w:b/>
        </w:rPr>
        <w:t>numberofdays</w:t>
      </w:r>
      <w:r w:rsidR="00B17EA1" w:rsidRPr="009F645F">
        <w:rPr>
          <w:rFonts w:ascii="Century Gothic" w:hAnsi="Century Gothic" w:cs="Arial"/>
          <w:b/>
        </w:rPr>
        <w:t>$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>$MS_commence_date$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>$</w:t>
      </w:r>
      <w:r w:rsidR="009F645F" w:rsidRPr="009F645F">
        <w:rPr>
          <w:rFonts w:ascii="Century Gothic" w:hAnsi="Century Gothic" w:cs="Arial"/>
          <w:b/>
        </w:rPr>
        <w:t xml:space="preserve">MS_complete_date </w:t>
      </w:r>
      <w:r w:rsidR="00B17EA1" w:rsidRPr="009F645F">
        <w:rPr>
          <w:rFonts w:ascii="Century Gothic" w:hAnsi="Century Gothic" w:cs="Arial"/>
          <w:b/>
        </w:rPr>
        <w:t>$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171E8" w:rsidTr="00950096">
        <w:trPr>
          <w:trHeight w:val="269"/>
        </w:trPr>
        <w:tc>
          <w:tcPr>
            <w:tcW w:w="1809" w:type="dxa"/>
          </w:tcPr>
          <w:p w:rsidR="0057091F" w:rsidRPr="009171E8" w:rsidRDefault="00950096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 xml:space="preserve">Date 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$MS_Number$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$MS_name$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$MS_Date$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>$T_Lead_Name$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$teamMember$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>$T_Lead_Name$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>$T_leader_contact</w:t>
      </w:r>
      <w:r w:rsidR="00FA60D3" w:rsidRPr="0024591E">
        <w:rPr>
          <w:rFonts w:ascii="Century Gothic" w:hAnsi="Century Gothic" w:cs="Arial"/>
        </w:rPr>
        <w:t>$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2B49C7" w:rsidRDefault="00434794" w:rsidP="006203BD">
      <w:pPr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 xml:space="preserve"> </w:t>
      </w:r>
    </w:p>
    <w:p w:rsidR="00B325C9" w:rsidRPr="001830F6" w:rsidRDefault="00B325C9" w:rsidP="00B325C9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Risk Management</w:t>
      </w:r>
    </w:p>
    <w:p w:rsidR="00904D71" w:rsidRDefault="003B78A6" w:rsidP="00904D71">
      <w:pPr>
        <w:rPr>
          <w:rFonts w:ascii="Century Gothic" w:hAnsi="Century Gothic" w:cs="Arial"/>
        </w:rPr>
      </w:pPr>
      <w:r w:rsidRPr="00D94EB1">
        <w:rPr>
          <w:rFonts w:ascii="Century Gothic" w:hAnsi="Century Gothic" w:cs="Arial"/>
        </w:rPr>
        <w:t>$</w:t>
      </w:r>
      <w:r w:rsidRPr="003B78A6">
        <w:rPr>
          <w:rFonts w:ascii="Century Gothic" w:hAnsi="Century Gothic" w:cs="Arial"/>
        </w:rPr>
        <w:t>riskForProjectRationale</w:t>
      </w:r>
      <w:r w:rsidRPr="00D94EB1">
        <w:rPr>
          <w:rFonts w:ascii="Century Gothic" w:hAnsi="Century Gothic" w:cs="Arial"/>
        </w:rPr>
        <w:t>$</w:t>
      </w:r>
    </w:p>
    <w:sectPr w:rsidR="00904D71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816" w:rsidRDefault="00480816" w:rsidP="006830D9">
      <w:pPr>
        <w:spacing w:after="0" w:line="240" w:lineRule="auto"/>
      </w:pPr>
      <w:r>
        <w:separator/>
      </w:r>
    </w:p>
  </w:endnote>
  <w:endnote w:type="continuationSeparator" w:id="1">
    <w:p w:rsidR="00480816" w:rsidRDefault="00480816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$publishdate$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816" w:rsidRDefault="00480816" w:rsidP="006830D9">
      <w:pPr>
        <w:spacing w:after="0" w:line="240" w:lineRule="auto"/>
      </w:pPr>
      <w:r>
        <w:separator/>
      </w:r>
    </w:p>
  </w:footnote>
  <w:footnote w:type="continuationSeparator" w:id="1">
    <w:p w:rsidR="00480816" w:rsidRDefault="00480816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647"/>
    <w:rsid w:val="00031925"/>
    <w:rsid w:val="00037A68"/>
    <w:rsid w:val="000647F6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0F4B5B"/>
    <w:rsid w:val="00112E0D"/>
    <w:rsid w:val="00120593"/>
    <w:rsid w:val="00127BB6"/>
    <w:rsid w:val="00155670"/>
    <w:rsid w:val="00156B9C"/>
    <w:rsid w:val="00157352"/>
    <w:rsid w:val="001573B9"/>
    <w:rsid w:val="0017617A"/>
    <w:rsid w:val="001830F6"/>
    <w:rsid w:val="001838E9"/>
    <w:rsid w:val="00190953"/>
    <w:rsid w:val="00190D5F"/>
    <w:rsid w:val="00192AB2"/>
    <w:rsid w:val="0019784D"/>
    <w:rsid w:val="001A2A3D"/>
    <w:rsid w:val="001B5B8E"/>
    <w:rsid w:val="001B5E4C"/>
    <w:rsid w:val="001B778C"/>
    <w:rsid w:val="001C1AEF"/>
    <w:rsid w:val="001C68F6"/>
    <w:rsid w:val="001E1B7D"/>
    <w:rsid w:val="001F7BE4"/>
    <w:rsid w:val="0020008E"/>
    <w:rsid w:val="00202637"/>
    <w:rsid w:val="00214B2E"/>
    <w:rsid w:val="0021514E"/>
    <w:rsid w:val="0022062D"/>
    <w:rsid w:val="00231E38"/>
    <w:rsid w:val="00236FCB"/>
    <w:rsid w:val="0024591E"/>
    <w:rsid w:val="002557BB"/>
    <w:rsid w:val="00257896"/>
    <w:rsid w:val="002600C2"/>
    <w:rsid w:val="00261970"/>
    <w:rsid w:val="00261E71"/>
    <w:rsid w:val="00277785"/>
    <w:rsid w:val="0028217E"/>
    <w:rsid w:val="00285A0B"/>
    <w:rsid w:val="00294A47"/>
    <w:rsid w:val="00294CC8"/>
    <w:rsid w:val="00296E7F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31AE9"/>
    <w:rsid w:val="00340769"/>
    <w:rsid w:val="00342BBE"/>
    <w:rsid w:val="0034379C"/>
    <w:rsid w:val="00343E2A"/>
    <w:rsid w:val="00350C20"/>
    <w:rsid w:val="00352FA2"/>
    <w:rsid w:val="00353A48"/>
    <w:rsid w:val="00354C6E"/>
    <w:rsid w:val="00355123"/>
    <w:rsid w:val="0035712D"/>
    <w:rsid w:val="003639FB"/>
    <w:rsid w:val="0037754C"/>
    <w:rsid w:val="00383B2C"/>
    <w:rsid w:val="003862BB"/>
    <w:rsid w:val="00386FE2"/>
    <w:rsid w:val="003A3606"/>
    <w:rsid w:val="003B1F84"/>
    <w:rsid w:val="003B24C7"/>
    <w:rsid w:val="003B6FF8"/>
    <w:rsid w:val="003B78A6"/>
    <w:rsid w:val="003D104F"/>
    <w:rsid w:val="003D4CF7"/>
    <w:rsid w:val="003D4E81"/>
    <w:rsid w:val="003E2118"/>
    <w:rsid w:val="003F1D62"/>
    <w:rsid w:val="00405099"/>
    <w:rsid w:val="004232B4"/>
    <w:rsid w:val="00426E5B"/>
    <w:rsid w:val="00434794"/>
    <w:rsid w:val="004438F2"/>
    <w:rsid w:val="004456E0"/>
    <w:rsid w:val="0045067F"/>
    <w:rsid w:val="00457DF9"/>
    <w:rsid w:val="00463292"/>
    <w:rsid w:val="00466731"/>
    <w:rsid w:val="00474DC1"/>
    <w:rsid w:val="00480816"/>
    <w:rsid w:val="00482E0B"/>
    <w:rsid w:val="00487B5F"/>
    <w:rsid w:val="004904A2"/>
    <w:rsid w:val="004958AF"/>
    <w:rsid w:val="004977CC"/>
    <w:rsid w:val="004A431B"/>
    <w:rsid w:val="004B64F4"/>
    <w:rsid w:val="004B6FBD"/>
    <w:rsid w:val="004B7D40"/>
    <w:rsid w:val="004C3923"/>
    <w:rsid w:val="004C4C6E"/>
    <w:rsid w:val="004D7847"/>
    <w:rsid w:val="00500092"/>
    <w:rsid w:val="00500E58"/>
    <w:rsid w:val="005033F1"/>
    <w:rsid w:val="00503E72"/>
    <w:rsid w:val="00512227"/>
    <w:rsid w:val="005163EC"/>
    <w:rsid w:val="0053222D"/>
    <w:rsid w:val="0053599E"/>
    <w:rsid w:val="005407E2"/>
    <w:rsid w:val="00542FA7"/>
    <w:rsid w:val="00554C59"/>
    <w:rsid w:val="0057091F"/>
    <w:rsid w:val="005725A2"/>
    <w:rsid w:val="00577DAB"/>
    <w:rsid w:val="005919FA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1464A"/>
    <w:rsid w:val="00617E43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25F62"/>
    <w:rsid w:val="00730819"/>
    <w:rsid w:val="00735E24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35B66"/>
    <w:rsid w:val="008512B3"/>
    <w:rsid w:val="00854B92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3527"/>
    <w:rsid w:val="008D7CA0"/>
    <w:rsid w:val="008E01C0"/>
    <w:rsid w:val="008E2399"/>
    <w:rsid w:val="008E51C4"/>
    <w:rsid w:val="008E6FA8"/>
    <w:rsid w:val="008F2A3F"/>
    <w:rsid w:val="008F3812"/>
    <w:rsid w:val="008F64B3"/>
    <w:rsid w:val="00902FCC"/>
    <w:rsid w:val="00903FD4"/>
    <w:rsid w:val="00904D71"/>
    <w:rsid w:val="00911297"/>
    <w:rsid w:val="009171E8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3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375E8"/>
    <w:rsid w:val="00A4558A"/>
    <w:rsid w:val="00A60CB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25C9"/>
    <w:rsid w:val="00B36EC4"/>
    <w:rsid w:val="00B37DF9"/>
    <w:rsid w:val="00B429C1"/>
    <w:rsid w:val="00B45989"/>
    <w:rsid w:val="00B533E9"/>
    <w:rsid w:val="00B63AAA"/>
    <w:rsid w:val="00B671B3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C36CD"/>
    <w:rsid w:val="00BC49B6"/>
    <w:rsid w:val="00BD21D2"/>
    <w:rsid w:val="00BD5478"/>
    <w:rsid w:val="00BD5654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21BE"/>
    <w:rsid w:val="00CB3254"/>
    <w:rsid w:val="00CC0FAD"/>
    <w:rsid w:val="00CC4284"/>
    <w:rsid w:val="00CC5F5A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1FB3"/>
    <w:rsid w:val="00D76FED"/>
    <w:rsid w:val="00D94EB1"/>
    <w:rsid w:val="00D96FFF"/>
    <w:rsid w:val="00DA0AD8"/>
    <w:rsid w:val="00DA2C68"/>
    <w:rsid w:val="00DC3BF0"/>
    <w:rsid w:val="00DE1117"/>
    <w:rsid w:val="00DF08B8"/>
    <w:rsid w:val="00DF36CE"/>
    <w:rsid w:val="00E04774"/>
    <w:rsid w:val="00E22ABC"/>
    <w:rsid w:val="00E538B3"/>
    <w:rsid w:val="00E60670"/>
    <w:rsid w:val="00E70A1B"/>
    <w:rsid w:val="00E7639C"/>
    <w:rsid w:val="00E76B0D"/>
    <w:rsid w:val="00E83DFB"/>
    <w:rsid w:val="00E84AED"/>
    <w:rsid w:val="00E94F56"/>
    <w:rsid w:val="00EC755F"/>
    <w:rsid w:val="00ED127A"/>
    <w:rsid w:val="00ED4346"/>
    <w:rsid w:val="00EE25B1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7686F"/>
    <w:rsid w:val="00F818F9"/>
    <w:rsid w:val="00F924E2"/>
    <w:rsid w:val="00FA60D3"/>
    <w:rsid w:val="00FB1DFC"/>
    <w:rsid w:val="00FB2714"/>
    <w:rsid w:val="00FB7C88"/>
    <w:rsid w:val="00FC1CA2"/>
    <w:rsid w:val="00FE6C65"/>
    <w:rsid w:val="00FF00C1"/>
    <w:rsid w:val="00FF187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5804B-6F05-4BBA-9DA5-20C0C0A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Vivek</cp:lastModifiedBy>
  <cp:revision>57</cp:revision>
  <dcterms:created xsi:type="dcterms:W3CDTF">2014-05-22T03:09:00Z</dcterms:created>
  <dcterms:modified xsi:type="dcterms:W3CDTF">2015-02-19T10:29:00Z</dcterms:modified>
</cp:coreProperties>
</file>