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Sentence-BERT: 语义表示与政策匹配</w:t>
      </w:r>
    </w:p>
    <w:p>
      <w:r>
        <w:t>本板块解释文本语义如何从政策文本和员工画像转化为可入模的数值特征。重点不是直接分类，而是构建 policy-to-employee semantic feature layer。</w:t>
      </w:r>
    </w:p>
    <w:p>
      <w:pPr>
        <w:pStyle w:val="Heading1"/>
      </w:pPr>
      <w:r>
        <w:t>1. 公式化步骤：公式 / 依据先行，再讲原因</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公式 / 依据</w:t>
            </w:r>
          </w:p>
        </w:tc>
        <w:tc>
          <w:tcPr>
            <w:tcW w:type="dxa" w:w="2880"/>
          </w:tcPr>
          <w:p>
            <w:r>
              <w:t>表达式</w:t>
            </w:r>
          </w:p>
        </w:tc>
        <w:tc>
          <w:tcPr>
            <w:tcW w:type="dxa" w:w="2880"/>
          </w:tcPr>
          <w:p>
            <w:r>
              <w:t>为什么这一步需要</w:t>
            </w:r>
          </w:p>
        </w:tc>
      </w:tr>
      <w:tr>
        <w:tc>
          <w:tcPr>
            <w:tcW w:type="dxa" w:w="2880"/>
            <w:vAlign w:val="top"/>
          </w:tcPr>
          <w:p>
            <w:r>
              <w:t>文本拼接依据</w:t>
            </w:r>
          </w:p>
        </w:tc>
        <w:tc>
          <w:tcPr>
            <w:tcW w:type="dxa" w:w="2880"/>
            <w:vAlign w:val="top"/>
          </w:tcPr>
          <w:p>
            <w:r>
              <w:t>s = concat(policy_title, policy_content, employee_role, department, risk_profile)</w:t>
            </w:r>
          </w:p>
        </w:tc>
        <w:tc>
          <w:tcPr>
            <w:tcW w:type="dxa" w:w="2880"/>
            <w:vAlign w:val="top"/>
          </w:tcPr>
          <w:p>
            <w:r>
              <w:t>统一不同来源文本，使政策和员工画像进入同一个语义空间。</w:t>
            </w:r>
          </w:p>
        </w:tc>
      </w:tr>
      <w:tr>
        <w:tc>
          <w:tcPr>
            <w:tcW w:type="dxa" w:w="2880"/>
            <w:vAlign w:val="top"/>
          </w:tcPr>
          <w:p>
            <w:r>
              <w:t>句向量编码</w:t>
            </w:r>
          </w:p>
        </w:tc>
        <w:tc>
          <w:tcPr>
            <w:tcW w:type="dxa" w:w="2880"/>
            <w:vAlign w:val="top"/>
          </w:tcPr>
          <w:p>
            <w:r>
              <w:t>e_s = f_theta(s)</w:t>
            </w:r>
          </w:p>
        </w:tc>
        <w:tc>
          <w:tcPr>
            <w:tcW w:type="dxa" w:w="2880"/>
            <w:vAlign w:val="top"/>
          </w:tcPr>
          <w:p>
            <w:r>
              <w:t>Sentence-BERT 将自然语言转成稠密向量，便于计算语义相似度。</w:t>
            </w:r>
          </w:p>
        </w:tc>
      </w:tr>
      <w:tr>
        <w:tc>
          <w:tcPr>
            <w:tcW w:type="dxa" w:w="2880"/>
            <w:vAlign w:val="top"/>
          </w:tcPr>
          <w:p>
            <w:r>
              <w:t>余弦相似度</w:t>
            </w:r>
          </w:p>
        </w:tc>
        <w:tc>
          <w:tcPr>
            <w:tcW w:type="dxa" w:w="2880"/>
            <w:vAlign w:val="top"/>
          </w:tcPr>
          <w:p>
            <w:r>
              <w:t>sim(e_i,e_j) = e_i^T e_j / (||e_i|| ||e_j||)</w:t>
            </w:r>
          </w:p>
        </w:tc>
        <w:tc>
          <w:tcPr>
            <w:tcW w:type="dxa" w:w="2880"/>
            <w:vAlign w:val="top"/>
          </w:tcPr>
          <w:p>
            <w:r>
              <w:t>用方向相似度衡量员工画像与政策文本是否语义接近。</w:t>
            </w:r>
          </w:p>
        </w:tc>
      </w:tr>
      <w:tr>
        <w:tc>
          <w:tcPr>
            <w:tcW w:type="dxa" w:w="2880"/>
            <w:vAlign w:val="top"/>
          </w:tcPr>
          <w:p>
            <w:r>
              <w:t>匹配矩阵</w:t>
            </w:r>
          </w:p>
        </w:tc>
        <w:tc>
          <w:tcPr>
            <w:tcW w:type="dxa" w:w="2880"/>
            <w:vAlign w:val="top"/>
          </w:tcPr>
          <w:p>
            <w:r>
              <w:t>M_ij = (0.7 * semantic_sim_ij + 0.3 * topic_sim_ij) * strength_j * time_j * role_bonus_ij * dept_bonus_ij</w:t>
            </w:r>
          </w:p>
        </w:tc>
        <w:tc>
          <w:tcPr>
            <w:tcW w:type="dxa" w:w="2880"/>
            <w:vAlign w:val="top"/>
          </w:tcPr>
          <w:p>
            <w:r>
              <w:t>把语义、主题、政策强度、时效性、岗位和部门匹配合成最终员工-政策匹配分。</w:t>
            </w:r>
          </w:p>
        </w:tc>
      </w:tr>
      <w:tr>
        <w:tc>
          <w:tcPr>
            <w:tcW w:type="dxa" w:w="2880"/>
            <w:vAlign w:val="top"/>
          </w:tcPr>
          <w:p>
            <w:r>
              <w:t>员工级聚合特征</w:t>
            </w:r>
          </w:p>
        </w:tc>
        <w:tc>
          <w:tcPr>
            <w:tcW w:type="dxa" w:w="2880"/>
            <w:vAlign w:val="top"/>
          </w:tcPr>
          <w:p>
            <w:r>
              <w:t>policy_match_mean_i = mean_j(M_ij); policy_match_top3_i = mean(top3_j M_ij)</w:t>
            </w:r>
          </w:p>
        </w:tc>
        <w:tc>
          <w:tcPr>
            <w:tcW w:type="dxa" w:w="2880"/>
            <w:vAlign w:val="top"/>
          </w:tcPr>
          <w:p>
            <w:r>
              <w:t>将多条政策匹配结果聚合成每个员工的一组结构化特征。</w:t>
            </w:r>
          </w:p>
        </w:tc>
      </w:tr>
      <w:tr>
        <w:tc>
          <w:tcPr>
            <w:tcW w:type="dxa" w:w="2880"/>
            <w:vAlign w:val="top"/>
          </w:tcPr>
          <w:p>
            <w:r>
              <w:t>支持与约束</w:t>
            </w:r>
          </w:p>
        </w:tc>
        <w:tc>
          <w:tcPr>
            <w:tcW w:type="dxa" w:w="2880"/>
            <w:vAlign w:val="top"/>
          </w:tcPr>
          <w:p>
            <w:r>
              <w:t>policy_net_support = policy_support_score - policy_constraint_score</w:t>
            </w:r>
          </w:p>
        </w:tc>
        <w:tc>
          <w:tcPr>
            <w:tcW w:type="dxa" w:w="2880"/>
            <w:vAlign w:val="top"/>
          </w:tcPr>
          <w:p>
            <w:r>
              <w:t>区分政策支持与政策约束，给 HR 场景更可解释的语义变量。</w:t>
            </w:r>
          </w:p>
        </w:tc>
      </w:tr>
    </w:tbl>
    <w:p>
      <w:pPr>
        <w:pStyle w:val="Heading1"/>
      </w:pPr>
      <w:r>
        <w:t>2. 可引用证据</w:t>
      </w:r>
    </w:p>
    <w:p>
      <w:pPr>
        <w:pStyle w:val="ListBullet"/>
      </w:pPr>
      <w:r>
        <w:t>TF-IDF + LR / LGB 是传统文本基线，Sentence-BERT + LR / ET / LGB 用于验证语义特征贡献。</w:t>
      </w:r>
    </w:p>
    <w:p>
      <w:pPr>
        <w:pStyle w:val="ListBullet"/>
      </w:pPr>
      <w:r>
        <w:t>政策相关特征进入 Top features，例如 policy_development_exposure 和 policy_constraint_score。</w:t>
      </w:r>
    </w:p>
    <w:p>
      <w:pPr>
        <w:pStyle w:val="ListBullet"/>
      </w:pPr>
      <w:r>
        <w:t>该模块支撑 PDF rubric 中 tools, methods, framework 和 selected approach。</w:t>
      </w:r>
    </w:p>
    <w:p>
      <w:pPr>
        <w:pStyle w:val="Heading1"/>
      </w:pPr>
      <w:r>
        <w:t>3. 对应图片</w:t>
      </w:r>
    </w:p>
    <w:p>
      <w:pPr>
        <w:pStyle w:val="ListBullet"/>
      </w:pPr>
      <w:r>
        <w:t>Sentence-BERT policy matching flow</w:t>
      </w:r>
    </w:p>
    <w:p>
      <w:r>
        <w:drawing>
          <wp:inline xmlns:a="http://schemas.openxmlformats.org/drawingml/2006/main" xmlns:pic="http://schemas.openxmlformats.org/drawingml/2006/picture">
            <wp:extent cx="5303520" cy="1379757"/>
            <wp:docPr id="1" name="Picture 1"/>
            <wp:cNvGraphicFramePr>
              <a:graphicFrameLocks noChangeAspect="1"/>
            </wp:cNvGraphicFramePr>
            <a:graphic>
              <a:graphicData uri="http://schemas.openxmlformats.org/drawingml/2006/picture">
                <pic:pic>
                  <pic:nvPicPr>
                    <pic:cNvPr id="0" name="sentence_bert_policy_matching_flow.png"/>
                    <pic:cNvPicPr/>
                  </pic:nvPicPr>
                  <pic:blipFill>
                    <a:blip r:embed="rId9"/>
                    <a:stretch>
                      <a:fillRect/>
                    </a:stretch>
                  </pic:blipFill>
                  <pic:spPr>
                    <a:xfrm>
                      <a:off x="0" y="0"/>
                      <a:ext cx="5303520" cy="1379757"/>
                    </a:xfrm>
                    <a:prstGeom prst="rect"/>
                  </pic:spPr>
                </pic:pic>
              </a:graphicData>
            </a:graphic>
          </wp:inline>
        </w:drawing>
      </w:r>
    </w:p>
    <w:p>
      <w:pPr>
        <w:pStyle w:val="ListBullet"/>
      </w:pPr>
      <w:r>
        <w:t>Policy matching output</w:t>
      </w:r>
    </w:p>
    <w:p>
      <w:r>
        <w:drawing>
          <wp:inline xmlns:a="http://schemas.openxmlformats.org/drawingml/2006/main" xmlns:pic="http://schemas.openxmlformats.org/drawingml/2006/picture">
            <wp:extent cx="5303520" cy="2631517"/>
            <wp:docPr id="2" name="Picture 2"/>
            <wp:cNvGraphicFramePr>
              <a:graphicFrameLocks noChangeAspect="1"/>
            </wp:cNvGraphicFramePr>
            <a:graphic>
              <a:graphicData uri="http://schemas.openxmlformats.org/drawingml/2006/picture">
                <pic:pic>
                  <pic:nvPicPr>
                    <pic:cNvPr id="0" name="policy_job_matching.png"/>
                    <pic:cNvPicPr/>
                  </pic:nvPicPr>
                  <pic:blipFill>
                    <a:blip r:embed="rId10"/>
                    <a:stretch>
                      <a:fillRect/>
                    </a:stretch>
                  </pic:blipFill>
                  <pic:spPr>
                    <a:xfrm>
                      <a:off x="0" y="0"/>
                      <a:ext cx="5303520" cy="2631517"/>
                    </a:xfrm>
                    <a:prstGeom prst="rect"/>
                  </pic:spPr>
                </pic:pic>
              </a:graphicData>
            </a:graphic>
          </wp:inline>
        </w:drawing>
      </w:r>
    </w:p>
    <w:p>
      <w:pPr>
        <w:pStyle w:val="ListBullet"/>
      </w:pPr>
      <w:r>
        <w:t>Overall architecture context</w:t>
      </w:r>
    </w:p>
    <w:p>
      <w:r>
        <w:drawing>
          <wp:inline xmlns:a="http://schemas.openxmlformats.org/drawingml/2006/main" xmlns:pic="http://schemas.openxmlformats.org/drawingml/2006/picture">
            <wp:extent cx="5303520" cy="2033016"/>
            <wp:docPr id="3" name="Picture 3"/>
            <wp:cNvGraphicFramePr>
              <a:graphicFrameLocks noChangeAspect="1"/>
            </wp:cNvGraphicFramePr>
            <a:graphic>
              <a:graphicData uri="http://schemas.openxmlformats.org/drawingml/2006/picture">
                <pic:pic>
                  <pic:nvPicPr>
                    <pic:cNvPr id="0" name="current_attrition_model_architecture.png"/>
                    <pic:cNvPicPr/>
                  </pic:nvPicPr>
                  <pic:blipFill>
                    <a:blip r:embed="rId11"/>
                    <a:stretch>
                      <a:fillRect/>
                    </a:stretch>
                  </pic:blipFill>
                  <pic:spPr>
                    <a:xfrm>
                      <a:off x="0" y="0"/>
                      <a:ext cx="5303520" cy="2033016"/>
                    </a:xfrm>
                    <a:prstGeom prst="rect"/>
                  </pic:spPr>
                </pic:pic>
              </a:graphicData>
            </a:graphic>
          </wp:inline>
        </w:drawing>
      </w:r>
    </w:p>
    <w:p>
      <w:pPr>
        <w:pStyle w:val="Heading1"/>
      </w:pPr>
      <w:r>
        <w:t>4. Q&amp;A 防守</w:t>
      </w:r>
    </w:p>
    <w:tbl>
      <w:tblPr>
        <w:tblStyle w:val="TableGrid"/>
        <w:tblW w:type="auto" w:w="0"/>
        <w:jc w:val="center"/>
        <w:tblLook w:firstColumn="1" w:firstRow="1" w:lastColumn="0" w:lastRow="0" w:noHBand="0" w:noVBand="1" w:val="04A0"/>
      </w:tblPr>
      <w:tblGrid>
        <w:gridCol w:w="4320"/>
        <w:gridCol w:w="4320"/>
      </w:tblGrid>
      <w:tr>
        <w:tc>
          <w:tcPr>
            <w:tcW w:type="dxa" w:w="4320"/>
          </w:tcPr>
          <w:p>
            <w:r>
              <w:t>可能被质疑的问题</w:t>
            </w:r>
          </w:p>
        </w:tc>
        <w:tc>
          <w:tcPr>
            <w:tcW w:type="dxa" w:w="4320"/>
          </w:tcPr>
          <w:p>
            <w:r>
              <w:t>答辩口径</w:t>
            </w:r>
          </w:p>
        </w:tc>
      </w:tr>
      <w:tr>
        <w:tc>
          <w:tcPr>
            <w:tcW w:type="dxa" w:w="4320"/>
          </w:tcPr>
          <w:p>
            <w:r>
              <w:t>为什么不是 TF-IDF？</w:t>
            </w:r>
          </w:p>
        </w:tc>
        <w:tc>
          <w:tcPr>
            <w:tcW w:type="dxa" w:w="4320"/>
          </w:tcPr>
          <w:p>
            <w:r>
              <w:t>TF-IDF 是词频基线，难以捕捉语义近似；Sentence-BERT 更适合政策和岗位文本匹配。</w:t>
            </w:r>
          </w:p>
        </w:tc>
      </w:tr>
      <w:tr>
        <w:tc>
          <w:tcPr>
            <w:tcW w:type="dxa" w:w="4320"/>
          </w:tcPr>
          <w:p>
            <w:r>
              <w:t>为什么不直接分类？</w:t>
            </w:r>
          </w:p>
        </w:tc>
        <w:tc>
          <w:tcPr>
            <w:tcW w:type="dxa" w:w="4320"/>
          </w:tcPr>
          <w:p>
            <w:r>
              <w:t>Sentence-BERT 在这里是 feature generator，最终分类由 LR / ET / LGB / Stacking 完成。</w:t>
            </w:r>
          </w:p>
        </w:tc>
      </w:tr>
      <w:tr>
        <w:tc>
          <w:tcPr>
            <w:tcW w:type="dxa" w:w="4320"/>
          </w:tcPr>
          <w:p>
            <w:r>
              <w:t>是否等于政策导致离职？</w:t>
            </w:r>
          </w:p>
        </w:tc>
        <w:tc>
          <w:tcPr>
            <w:tcW w:type="dxa" w:w="4320"/>
          </w:tcPr>
          <w:p>
            <w:r>
              <w:t>不是因果结论，只表示语义上下文和风险预测特征。</w:t>
            </w:r>
          </w:p>
        </w:tc>
      </w:tr>
    </w:tbl>
    <w:p>
      <w:pPr>
        <w:pStyle w:val="Heading1"/>
      </w:pPr>
      <w:r>
        <w:t>5. Presentation 提醒</w:t>
      </w:r>
    </w:p>
    <w:p>
      <w:r>
        <w:t>讲这一板块时，先给公式或依据，再解释为什么需要这一步，最后展示对应图和关键数值。这样更技术化，也更贴合 PDF rubric 中 tools, methods, selected approach and Q&amp;A 的评分点。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