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LightGBM: 核心非线性预测模型</w:t>
      </w:r>
    </w:p>
    <w:p>
      <w:r>
        <w:t>本板块解释 LightGBM 为什么是核心预测器：员工流失往往由多因素交互驱动，boosting tree 适合捕捉非线性和阈值效应。</w:t>
      </w:r>
    </w:p>
    <w:p>
      <w:pPr>
        <w:pStyle w:val="Heading1"/>
      </w:pPr>
      <w:r>
        <w:t>1. 公式化步骤：公式 / 依据先行，再讲原因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公式 / 依据</w:t>
            </w:r>
          </w:p>
        </w:tc>
        <w:tc>
          <w:tcPr>
            <w:tcW w:type="dxa" w:w="2880"/>
          </w:tcPr>
          <w:p>
            <w:r>
              <w:t>表达式</w:t>
            </w:r>
          </w:p>
        </w:tc>
        <w:tc>
          <w:tcPr>
            <w:tcW w:type="dxa" w:w="2880"/>
          </w:tcPr>
          <w:p>
            <w:r>
              <w:t>为什么这一步需要</w:t>
            </w:r>
          </w:p>
        </w:tc>
      </w:tr>
      <w:tr>
        <w:tc>
          <w:tcPr>
            <w:tcW w:type="dxa" w:w="2880"/>
            <w:vAlign w:val="top"/>
          </w:tcPr>
          <w:p>
            <w:r>
              <w:t>加法模型</w:t>
            </w:r>
          </w:p>
        </w:tc>
        <w:tc>
          <w:tcPr>
            <w:tcW w:type="dxa" w:w="2880"/>
            <w:vAlign w:val="top"/>
          </w:tcPr>
          <w:p>
            <w:r>
              <w:t>F_M(x) = sum_{m=1}^M eta * f_m(x)</w:t>
            </w:r>
          </w:p>
        </w:tc>
        <w:tc>
          <w:tcPr>
            <w:tcW w:type="dxa" w:w="2880"/>
            <w:vAlign w:val="top"/>
          </w:tcPr>
          <w:p>
            <w:r>
              <w:t>通过多棵树逐步叠加形成强预测器。</w:t>
            </w:r>
          </w:p>
        </w:tc>
      </w:tr>
      <w:tr>
        <w:tc>
          <w:tcPr>
            <w:tcW w:type="dxa" w:w="2880"/>
            <w:vAlign w:val="top"/>
          </w:tcPr>
          <w:p>
            <w:r>
              <w:t>概率输出</w:t>
            </w:r>
          </w:p>
        </w:tc>
        <w:tc>
          <w:tcPr>
            <w:tcW w:type="dxa" w:w="2880"/>
            <w:vAlign w:val="top"/>
          </w:tcPr>
          <w:p>
            <w:r>
              <w:t>P(y=1|x) = sigmoid(F_M(x))</w:t>
            </w:r>
          </w:p>
        </w:tc>
        <w:tc>
          <w:tcPr>
            <w:tcW w:type="dxa" w:w="2880"/>
            <w:vAlign w:val="top"/>
          </w:tcPr>
          <w:p>
            <w:r>
              <w:t>把 boosting 得分映射为员工流失概率。</w:t>
            </w:r>
          </w:p>
        </w:tc>
      </w:tr>
      <w:tr>
        <w:tc>
          <w:tcPr>
            <w:tcW w:type="dxa" w:w="2880"/>
            <w:vAlign w:val="top"/>
          </w:tcPr>
          <w:p>
            <w:r>
              <w:t>损失函数依据</w:t>
            </w:r>
          </w:p>
        </w:tc>
        <w:tc>
          <w:tcPr>
            <w:tcW w:type="dxa" w:w="2880"/>
            <w:vAlign w:val="top"/>
          </w:tcPr>
          <w:p>
            <w:r>
              <w:t>L = - sum_i [y_i log(p_i) + (1-y_i) log(1-p_i)]</w:t>
            </w:r>
          </w:p>
        </w:tc>
        <w:tc>
          <w:tcPr>
            <w:tcW w:type="dxa" w:w="2880"/>
            <w:vAlign w:val="top"/>
          </w:tcPr>
          <w:p>
            <w:r>
              <w:t>二分类任务使用 logloss 优化概率预测。</w:t>
            </w:r>
          </w:p>
        </w:tc>
      </w:tr>
      <w:tr>
        <w:tc>
          <w:tcPr>
            <w:tcW w:type="dxa" w:w="2880"/>
            <w:vAlign w:val="top"/>
          </w:tcPr>
          <w:p>
            <w:r>
              <w:t>类别不平衡权重</w:t>
            </w:r>
          </w:p>
        </w:tc>
        <w:tc>
          <w:tcPr>
            <w:tcW w:type="dxa" w:w="2880"/>
            <w:vAlign w:val="top"/>
          </w:tcPr>
          <w:p>
            <w:r>
              <w:t>scale_pos_weight = N_negative / N_positive</w:t>
            </w:r>
          </w:p>
        </w:tc>
        <w:tc>
          <w:tcPr>
            <w:tcW w:type="dxa" w:w="2880"/>
            <w:vAlign w:val="top"/>
          </w:tcPr>
          <w:p>
            <w:r>
              <w:t>流失样本较少时提高正类学习权重，避免只偏向多数类。</w:t>
            </w:r>
          </w:p>
        </w:tc>
      </w:tr>
      <w:tr>
        <w:tc>
          <w:tcPr>
            <w:tcW w:type="dxa" w:w="2880"/>
            <w:vAlign w:val="top"/>
          </w:tcPr>
          <w:p>
            <w:r>
              <w:t>Gain 重要性</w:t>
            </w:r>
          </w:p>
        </w:tc>
        <w:tc>
          <w:tcPr>
            <w:tcW w:type="dxa" w:w="2880"/>
            <w:vAlign w:val="top"/>
          </w:tcPr>
          <w:p>
            <w:r>
              <w:t>Importance_j = sum split_gain_j</w:t>
            </w:r>
          </w:p>
        </w:tc>
        <w:tc>
          <w:tcPr>
            <w:tcW w:type="dxa" w:w="2880"/>
            <w:vAlign w:val="top"/>
          </w:tcPr>
          <w:p>
            <w:r>
              <w:t>用分裂增益衡量特征对模型改进的贡献。</w:t>
            </w:r>
          </w:p>
        </w:tc>
      </w:tr>
      <w:tr>
        <w:tc>
          <w:tcPr>
            <w:tcW w:type="dxa" w:w="2880"/>
            <w:vAlign w:val="top"/>
          </w:tcPr>
          <w:p>
            <w:r>
              <w:t>Early stopping</w:t>
            </w:r>
          </w:p>
        </w:tc>
        <w:tc>
          <w:tcPr>
            <w:tcW w:type="dxa" w:w="2880"/>
            <w:vAlign w:val="top"/>
          </w:tcPr>
          <w:p>
            <w:r>
              <w:t>stop if validation AUC / logloss does not improve for R rounds</w:t>
            </w:r>
          </w:p>
        </w:tc>
        <w:tc>
          <w:tcPr>
            <w:tcW w:type="dxa" w:w="2880"/>
            <w:vAlign w:val="top"/>
          </w:tcPr>
          <w:p>
            <w:r>
              <w:t>控制过拟合，并说明训练曲线收敛。</w:t>
            </w:r>
          </w:p>
        </w:tc>
      </w:tr>
    </w:tbl>
    <w:p>
      <w:pPr>
        <w:pStyle w:val="Heading1"/>
      </w:pPr>
      <w:r>
        <w:t>2. 可引用证据</w:t>
      </w:r>
    </w:p>
    <w:p>
      <w:pPr>
        <w:pStyle w:val="ListBullet"/>
      </w:pPr>
      <w:r>
        <w:t>Sentence-BERT + LGB: Test AUC 0.980581, Test F1 0.918149。</w:t>
      </w:r>
    </w:p>
    <w:p>
      <w:pPr>
        <w:pStyle w:val="ListBullet"/>
      </w:pPr>
      <w:r>
        <w:t>Full without LGB: Test AUC 0.976270, Test F1 0.899032，低于 Full Model。</w:t>
      </w:r>
    </w:p>
    <w:p>
      <w:pPr>
        <w:pStyle w:val="ListBullet"/>
      </w:pPr>
      <w:r>
        <w:t>Full Model: Test AUC 0.984701, Test F1 0.924839。</w:t>
      </w:r>
    </w:p>
    <w:p>
      <w:pPr>
        <w:pStyle w:val="Heading1"/>
      </w:pPr>
      <w:r>
        <w:t>3. 对应图片</w:t>
      </w:r>
    </w:p>
    <w:p>
      <w:pPr>
        <w:pStyle w:val="ListBullet"/>
      </w:pPr>
      <w:r>
        <w:t>LightGBM gain feature importance</w:t>
      </w:r>
    </w:p>
    <w:p>
      <w:r>
        <w:drawing>
          <wp:inline xmlns:a="http://schemas.openxmlformats.org/drawingml/2006/main" xmlns:pic="http://schemas.openxmlformats.org/drawingml/2006/picture">
            <wp:extent cx="5303520" cy="3354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gb_gain_feature_impor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4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LightGBM early stopping curve</w:t>
      </w:r>
    </w:p>
    <w:p>
      <w:r>
        <w:drawing>
          <wp:inline xmlns:a="http://schemas.openxmlformats.org/drawingml/2006/main" xmlns:pic="http://schemas.openxmlformats.org/drawingml/2006/picture">
            <wp:extent cx="5303520" cy="29436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gb_training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3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ROC, PR and confusion matrix</w:t>
      </w:r>
    </w:p>
    <w:p>
      <w:r>
        <w:drawing>
          <wp:inline xmlns:a="http://schemas.openxmlformats.org/drawingml/2006/main" xmlns:pic="http://schemas.openxmlformats.org/drawingml/2006/picture">
            <wp:extent cx="5303520" cy="16793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pr_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7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General feature importance</w:t>
      </w:r>
    </w:p>
    <w:p>
      <w:r>
        <w:drawing>
          <wp:inline xmlns:a="http://schemas.openxmlformats.org/drawingml/2006/main" xmlns:pic="http://schemas.openxmlformats.org/drawingml/2006/picture">
            <wp:extent cx="5303520" cy="35221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_top_featu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2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Q&amp;A 防守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可能被质疑的问题</w:t>
            </w:r>
          </w:p>
        </w:tc>
        <w:tc>
          <w:tcPr>
            <w:tcW w:type="dxa" w:w="4320"/>
          </w:tcPr>
          <w:p>
            <w:r>
              <w:t>答辩口径</w:t>
            </w:r>
          </w:p>
        </w:tc>
      </w:tr>
      <w:tr>
        <w:tc>
          <w:tcPr>
            <w:tcW w:type="dxa" w:w="4320"/>
          </w:tcPr>
          <w:p>
            <w:r>
              <w:t>为什么用 LGB？</w:t>
            </w:r>
          </w:p>
        </w:tc>
        <w:tc>
          <w:tcPr>
            <w:tcW w:type="dxa" w:w="4320"/>
          </w:tcPr>
          <w:p>
            <w:r>
              <w:t>它对表格数据高效，能捕捉非线性和交互关系。</w:t>
            </w:r>
          </w:p>
        </w:tc>
      </w:tr>
      <w:tr>
        <w:tc>
          <w:tcPr>
            <w:tcW w:type="dxa" w:w="4320"/>
          </w:tcPr>
          <w:p>
            <w:r>
              <w:t>是否过拟合？</w:t>
            </w:r>
          </w:p>
        </w:tc>
        <w:tc>
          <w:tcPr>
            <w:tcW w:type="dxa" w:w="4320"/>
          </w:tcPr>
          <w:p>
            <w:r>
              <w:t>OOF/Test gap 小且 generalization warning 为 OK，并有 early stopping。</w:t>
            </w:r>
          </w:p>
        </w:tc>
      </w:tr>
      <w:tr>
        <w:tc>
          <w:tcPr>
            <w:tcW w:type="dxa" w:w="4320"/>
          </w:tcPr>
          <w:p>
            <w:r>
              <w:t>如何处理不平衡？</w:t>
            </w:r>
          </w:p>
        </w:tc>
        <w:tc>
          <w:tcPr>
            <w:tcW w:type="dxa" w:w="4320"/>
          </w:tcPr>
          <w:p>
            <w:r>
              <w:t>使用正负样本权重、F1/Recall/Precision 阈值优化和 Top-K 评估。</w:t>
            </w:r>
          </w:p>
        </w:tc>
      </w:tr>
    </w:tbl>
    <w:p>
      <w:pPr>
        <w:pStyle w:val="Heading1"/>
      </w:pPr>
      <w:r>
        <w:t>5. Presentation 提醒</w:t>
      </w:r>
    </w:p>
    <w:p>
      <w:r>
        <w:t>讲这一板块时，先给公式或依据，再解释为什么需要这一步，最后展示对应图和关键数值。这样更技术化，也更贴合 PDF rubric 中 tools, methods, selected approach and Q&amp;A 的评分点。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