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SHAP: 模型解释与 HR 决策支持</w:t>
      </w:r>
    </w:p>
    <w:p>
      <w:r>
        <w:t>本板块解释模型为什么给出某个风险判断。SHAP 不参与训练，也不改变概率，而是把预测拆成可读的特征贡献。</w:t>
      </w:r>
    </w:p>
    <w:p>
      <w:pPr>
        <w:pStyle w:val="Heading1"/>
      </w:pPr>
      <w:r>
        <w:t>1. 公式化步骤：公式 / 依据先行，再讲原因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公式 / 依据</w:t>
            </w:r>
          </w:p>
        </w:tc>
        <w:tc>
          <w:tcPr>
            <w:tcW w:type="dxa" w:w="2880"/>
          </w:tcPr>
          <w:p>
            <w:r>
              <w:t>表达式</w:t>
            </w:r>
          </w:p>
        </w:tc>
        <w:tc>
          <w:tcPr>
            <w:tcW w:type="dxa" w:w="2880"/>
          </w:tcPr>
          <w:p>
            <w:r>
              <w:t>为什么这一步需要</w:t>
            </w:r>
          </w:p>
        </w:tc>
      </w:tr>
      <w:tr>
        <w:tc>
          <w:tcPr>
            <w:tcW w:type="dxa" w:w="2880"/>
            <w:vAlign w:val="top"/>
          </w:tcPr>
          <w:p>
            <w:r>
              <w:t>加性解释模型</w:t>
            </w:r>
          </w:p>
        </w:tc>
        <w:tc>
          <w:tcPr>
            <w:tcW w:type="dxa" w:w="2880"/>
            <w:vAlign w:val="top"/>
          </w:tcPr>
          <w:p>
            <w:r>
              <w:t>f(x) = phi_0 + sum_j phi_j</w:t>
            </w:r>
          </w:p>
        </w:tc>
        <w:tc>
          <w:tcPr>
            <w:tcW w:type="dxa" w:w="2880"/>
            <w:vAlign w:val="top"/>
          </w:tcPr>
          <w:p>
            <w:r>
              <w:t>把模型输出拆成基线值和各特征贡献，便于解释。</w:t>
            </w:r>
          </w:p>
        </w:tc>
      </w:tr>
      <w:tr>
        <w:tc>
          <w:tcPr>
            <w:tcW w:type="dxa" w:w="2880"/>
            <w:vAlign w:val="top"/>
          </w:tcPr>
          <w:p>
            <w:r>
              <w:t>Shapley 值依据</w:t>
            </w:r>
          </w:p>
        </w:tc>
        <w:tc>
          <w:tcPr>
            <w:tcW w:type="dxa" w:w="2880"/>
            <w:vAlign w:val="top"/>
          </w:tcPr>
          <w:p>
            <w:r>
              <w:t>phi_j = sum_{S subset F\{j}} |S|!(M-|S|-1)!/M! * [f(S union {j}) - f(S)]</w:t>
            </w:r>
          </w:p>
        </w:tc>
        <w:tc>
          <w:tcPr>
            <w:tcW w:type="dxa" w:w="2880"/>
            <w:vAlign w:val="top"/>
          </w:tcPr>
          <w:p>
            <w:r>
              <w:t>用博弈论公平分摊思想估计特征边际贡献。</w:t>
            </w:r>
          </w:p>
        </w:tc>
      </w:tr>
      <w:tr>
        <w:tc>
          <w:tcPr>
            <w:tcW w:type="dxa" w:w="2880"/>
            <w:vAlign w:val="top"/>
          </w:tcPr>
          <w:p>
            <w:r>
              <w:t>全局重要性</w:t>
            </w:r>
          </w:p>
        </w:tc>
        <w:tc>
          <w:tcPr>
            <w:tcW w:type="dxa" w:w="2880"/>
            <w:vAlign w:val="top"/>
          </w:tcPr>
          <w:p>
            <w:r>
              <w:t>I_j = (1/n) * sum_i |phi_{ij}|</w:t>
            </w:r>
          </w:p>
        </w:tc>
        <w:tc>
          <w:tcPr>
            <w:tcW w:type="dxa" w:w="2880"/>
            <w:vAlign w:val="top"/>
          </w:tcPr>
          <w:p>
            <w:r>
              <w:t>用平均绝对 SHAP 值排序全局重要特征。</w:t>
            </w:r>
          </w:p>
        </w:tc>
      </w:tr>
      <w:tr>
        <w:tc>
          <w:tcPr>
            <w:tcW w:type="dxa" w:w="2880"/>
            <w:vAlign w:val="top"/>
          </w:tcPr>
          <w:p>
            <w:r>
              <w:t>个体解释</w:t>
            </w:r>
          </w:p>
        </w:tc>
        <w:tc>
          <w:tcPr>
            <w:tcW w:type="dxa" w:w="2880"/>
            <w:vAlign w:val="top"/>
          </w:tcPr>
          <w:p>
            <w:r>
              <w:t>risk_driver_top3 = top3_j |phi_{ij}|</w:t>
            </w:r>
          </w:p>
        </w:tc>
        <w:tc>
          <w:tcPr>
            <w:tcW w:type="dxa" w:w="2880"/>
            <w:vAlign w:val="top"/>
          </w:tcPr>
          <w:p>
            <w:r>
              <w:t>为单个员工提取最主要的三个风险驱动。</w:t>
            </w:r>
          </w:p>
        </w:tc>
      </w:tr>
      <w:tr>
        <w:tc>
          <w:tcPr>
            <w:tcW w:type="dxa" w:w="2880"/>
            <w:vAlign w:val="top"/>
          </w:tcPr>
          <w:p>
            <w:r>
              <w:t>解释边界</w:t>
            </w:r>
          </w:p>
        </w:tc>
        <w:tc>
          <w:tcPr>
            <w:tcW w:type="dxa" w:w="2880"/>
            <w:vAlign w:val="top"/>
          </w:tcPr>
          <w:p>
            <w:r>
              <w:t>SHAP explains model behavior, not causal effect</w:t>
            </w:r>
          </w:p>
        </w:tc>
        <w:tc>
          <w:tcPr>
            <w:tcW w:type="dxa" w:w="2880"/>
            <w:vAlign w:val="top"/>
          </w:tcPr>
          <w:p>
            <w:r>
              <w:t>避免把模型相关性解释误说成真实因果。</w:t>
            </w:r>
          </w:p>
        </w:tc>
      </w:tr>
    </w:tbl>
    <w:p>
      <w:pPr>
        <w:pStyle w:val="Heading1"/>
      </w:pPr>
      <w:r>
        <w:t>2. 可引用证据</w:t>
      </w:r>
    </w:p>
    <w:p>
      <w:pPr>
        <w:pStyle w:val="ListBullet"/>
      </w:pPr>
      <w:r>
        <w:t>SHAP summary / bar / dependence 展示全局解释。</w:t>
      </w:r>
    </w:p>
    <w:p>
      <w:pPr>
        <w:pStyle w:val="ListBullet"/>
      </w:pPr>
      <w:r>
        <w:t>Waterfall correct / error sample 展示个体解释和误判分析。</w:t>
      </w:r>
    </w:p>
    <w:p>
      <w:pPr>
        <w:pStyle w:val="ListBullet"/>
      </w:pPr>
      <w:r>
        <w:t>Top3 风险驱动表把解释转化为 HR 可读原因。</w:t>
      </w:r>
    </w:p>
    <w:p>
      <w:pPr>
        <w:pStyle w:val="Heading1"/>
      </w:pPr>
      <w:r>
        <w:t>3. 对应图片</w:t>
      </w:r>
    </w:p>
    <w:p>
      <w:pPr>
        <w:pStyle w:val="ListBullet"/>
      </w:pPr>
      <w:r>
        <w:t>SHAP summary plot</w:t>
      </w:r>
    </w:p>
    <w:p>
      <w:r>
        <w:drawing>
          <wp:inline xmlns:a="http://schemas.openxmlformats.org/drawingml/2006/main" xmlns:pic="http://schemas.openxmlformats.org/drawingml/2006/picture">
            <wp:extent cx="5303520" cy="63865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386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SHAP bar plot</w:t>
      </w:r>
    </w:p>
    <w:p>
      <w:r>
        <w:drawing>
          <wp:inline xmlns:a="http://schemas.openxmlformats.org/drawingml/2006/main" xmlns:pic="http://schemas.openxmlformats.org/drawingml/2006/picture">
            <wp:extent cx="5303520" cy="63055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305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SHAP dependence plot</w:t>
      </w:r>
    </w:p>
    <w:p>
      <w:r>
        <w:drawing>
          <wp:inline xmlns:a="http://schemas.openxmlformats.org/drawingml/2006/main" xmlns:pic="http://schemas.openxmlformats.org/drawingml/2006/picture">
            <wp:extent cx="5303520" cy="36986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depend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98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SHAP waterfall correct sample</w:t>
      </w:r>
    </w:p>
    <w:p>
      <w:r>
        <w:drawing>
          <wp:inline xmlns:a="http://schemas.openxmlformats.org/drawingml/2006/main" xmlns:pic="http://schemas.openxmlformats.org/drawingml/2006/picture">
            <wp:extent cx="5303520" cy="49066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waterfall_correct_samp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06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SHAP waterfall error sample</w:t>
      </w:r>
    </w:p>
    <w:p>
      <w:r>
        <w:drawing>
          <wp:inline xmlns:a="http://schemas.openxmlformats.org/drawingml/2006/main" xmlns:pic="http://schemas.openxmlformats.org/drawingml/2006/picture">
            <wp:extent cx="5303520" cy="49066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waterfall_error_samp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06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Q&amp;A 防守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可能被质疑的问题</w:t>
            </w:r>
          </w:p>
        </w:tc>
        <w:tc>
          <w:tcPr>
            <w:tcW w:type="dxa" w:w="4320"/>
          </w:tcPr>
          <w:p>
            <w:r>
              <w:t>答辩口径</w:t>
            </w:r>
          </w:p>
        </w:tc>
      </w:tr>
      <w:tr>
        <w:tc>
          <w:tcPr>
            <w:tcW w:type="dxa" w:w="4320"/>
          </w:tcPr>
          <w:p>
            <w:r>
              <w:t>SHAP 是否因果？</w:t>
            </w:r>
          </w:p>
        </w:tc>
        <w:tc>
          <w:tcPr>
            <w:tcW w:type="dxa" w:w="4320"/>
          </w:tcPr>
          <w:p>
            <w:r>
              <w:t>不是。SHAP 解释模型如何使用特征，不证明现实因果关系。</w:t>
            </w:r>
          </w:p>
        </w:tc>
      </w:tr>
      <w:tr>
        <w:tc>
          <w:tcPr>
            <w:tcW w:type="dxa" w:w="4320"/>
          </w:tcPr>
          <w:p>
            <w:r>
              <w:t>为什么解释 LGB 而不是全 Stacking？</w:t>
            </w:r>
          </w:p>
        </w:tc>
        <w:tc>
          <w:tcPr>
            <w:tcW w:type="dxa" w:w="4320"/>
          </w:tcPr>
          <w:p>
            <w:r>
              <w:t>TreeSHAP 对树模型高效，LGB 是核心非线性子模型；完整融合解释作为未来改进。</w:t>
            </w:r>
          </w:p>
        </w:tc>
      </w:tr>
      <w:tr>
        <w:tc>
          <w:tcPr>
            <w:tcW w:type="dxa" w:w="4320"/>
          </w:tcPr>
          <w:p>
            <w:r>
              <w:t>HR 如何使用？</w:t>
            </w:r>
          </w:p>
        </w:tc>
        <w:tc>
          <w:tcPr>
            <w:tcW w:type="dxa" w:w="4320"/>
          </w:tcPr>
          <w:p>
            <w:r>
              <w:t>用于人工复核和风险原因沟通，不用于自动惩罚或单独决策。</w:t>
            </w:r>
          </w:p>
        </w:tc>
      </w:tr>
    </w:tbl>
    <w:p>
      <w:pPr>
        <w:pStyle w:val="Heading1"/>
      </w:pPr>
      <w:r>
        <w:t>5. Presentation 提醒</w:t>
      </w:r>
    </w:p>
    <w:p>
      <w:r>
        <w:t>讲这一板块时，先给公式或依据，再解释为什么需要这一步，最后展示对应图和关键数值。这样更技术化，也更贴合 PDF rubric 中 tools, methods, selected approach and Q&amp;A 的评分点。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