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 w:eastAsia="微软雅黑"/>
          <w:b/>
          <w:color w:val="1B3A4B"/>
          <w:sz w:val="22"/>
        </w:rPr>
        <w:t>SoulForge</w:t>
      </w:r>
    </w:p>
    <w:p>
      <w:pPr>
        <w:spacing w:after="80" w:before="0" w:line="276" w:lineRule="auto"/>
      </w:pPr>
      <w:r>
        <w:rPr>
          <w:rFonts w:ascii="Calibri" w:hAnsi="Calibri" w:eastAsia="微软雅黑"/>
          <w:b/>
          <w:color w:val="1B3A4B"/>
          <w:sz w:val="44"/>
        </w:rPr>
        <w:t>动作与地图的 Agent 编址</w:t>
      </w:r>
    </w:p>
    <w:p>
      <w:pPr>
        <w:spacing w:after="24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界面可以继续用现在的工作台。后端（索引 / RAG / Agent 读写工具）必须按参数同构的文本格式交出地址，Agent 才能查找和修改。</w:t>
      </w:r>
    </w:p>
    <w:p>
      <w:pPr>
        <w:pStyle w:val="Heading1"/>
        <w:spacing w:before="120" w:after="160"/>
      </w:pPr>
      <w:r>
        <w:rPr>
          <w:rFonts w:ascii="Calibri" w:hAnsi="Calibri" w:eastAsia="微软雅黑"/>
          <w:b/>
          <w:color w:val="1B3A4B"/>
          <w:sz w:val="36"/>
        </w:rPr>
        <w:t>1. 产品句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用户原话（2026-08-19）：文本的格式也有要求，虽然显示上适配当前界面，实际上和参数的格式类似，cXXXX，AXXXX，具体词条，起始帧结束帧等信息。地图是 MXXX，mxxxx，具体信息。只有后端都呈现这些信息，才方便 Agent 查找和修改。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解包停在 Bridge 文档，不停在磁盘松散文件。一个 ID 只属于一个权威工具：帧时间属于 TAE，坐标属于 MSB，数值属于 PARAM，文案属于 FMG，地图逻辑属于 EMEVD。</w:t>
      </w:r>
    </w:p>
    <w:p>
      <w:pPr>
        <w:pStyle w:val="Heading1"/>
        <w:spacing w:before="120" w:after="160"/>
      </w:pPr>
      <w:r>
        <w:rPr>
          <w:rFonts w:ascii="Calibri" w:hAnsi="Calibri" w:eastAsia="微软雅黑"/>
          <w:b/>
          <w:color w:val="1B3A4B"/>
          <w:sz w:val="36"/>
        </w:rPr>
        <w:t>2. 参数是样板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现有 PARAM 门面已经是「表 # 行 . 字段 = 绝对值」。动作和地图必须长得像它，而不是散文路径。</w:t>
      </w:r>
    </w:p>
    <w:p>
      <w:pPr>
        <w:spacing w:before="80" w:after="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EquipParamWeapon#70500.atkPhysCorrection = 320</w:t>
      </w:r>
    </w:p>
    <w:p>
      <w:pPr>
        <w:spacing w:before="0" w:after="20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SpEffectParam#110111.changeStaminaPoint = 10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检索：用户说「70500 琉璃」或「EquipParamWeapon#70500」应命中同一行。写入：mutate_param_fields 收同一地址。</w:t>
      </w:r>
    </w:p>
    <w:p>
      <w:pPr>
        <w:pStyle w:val="Heading1"/>
        <w:spacing w:before="120" w:after="160"/>
      </w:pPr>
      <w:r>
        <w:rPr>
          <w:rFonts w:ascii="Calibri" w:hAnsi="Calibri" w:eastAsia="微软雅黑"/>
          <w:b/>
          <w:color w:val="1B3A4B"/>
          <w:sz w:val="36"/>
        </w:rPr>
        <w:t>3. 动作编址  cXXXX / AXXXX / 词条 / 帧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角色是 cXXXX（来自 chr/c1050.anibnd.dcx 的茎）。动画是 A + animId 零填充四位；合法 hkx 茎是别名，不是第二套主键。词条用该动画 events 数组下标。时间对外是帧（30fps），对内仍是秒。</w:t>
      </w:r>
    </w:p>
    <w:p>
      <w:pPr>
        <w:pStyle w:val="Heading2"/>
        <w:spacing w:before="280" w:after="160"/>
      </w:pPr>
      <w:r>
        <w:rPr>
          <w:rFonts w:ascii="Calibri" w:hAnsi="Calibri" w:eastAsia="微软雅黑"/>
          <w:b/>
          <w:color w:val="1B3A4B"/>
          <w:sz w:val="28"/>
        </w:rPr>
        <w:t>3.1 地址语法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1B3A4B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381"/>
            <w:shd w:val="clear" w:color="auto" w:fill="1B3A4B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形式</w:t>
            </w:r>
          </w:p>
        </w:tc>
        <w:tc>
          <w:tcPr>
            <w:tcW w:type="dxa" w:w="3061"/>
            <w:shd w:val="clear" w:color="auto" w:fill="1B3A4B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例子</w:t>
            </w:r>
          </w:p>
        </w:tc>
        <w:tc>
          <w:tcPr>
            <w:tcW w:type="dxa" w:w="2608"/>
            <w:shd w:val="clear" w:color="auto" w:fill="1B3A4B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角色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222222"/>
                <w:sz w:val="18"/>
              </w:rPr>
              <w:t>cXXXX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222222"/>
                <w:sz w:val="18"/>
              </w:rPr>
              <w:t>c1050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chr/c1050.anibnd.dcx + 伴生 chrbnd</w:t>
            </w:r>
          </w:p>
        </w:tc>
      </w:tr>
      <w:tr>
        <w:tc>
          <w:tcPr>
            <w:tcW w:type="dxa" w:w="1361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动画</w:t>
            </w:r>
          </w:p>
        </w:tc>
        <w:tc>
          <w:tcPr>
            <w:tcW w:type="dxa" w:w="2381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222222"/>
                <w:sz w:val="18"/>
              </w:rPr>
              <w:t>cXXXX#AXXXX</w:t>
            </w:r>
          </w:p>
        </w:tc>
        <w:tc>
          <w:tcPr>
            <w:tcW w:type="dxa" w:w="3061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222222"/>
                <w:sz w:val="18"/>
              </w:rPr>
              <w:t>c1050#A0200</w:t>
            </w:r>
          </w:p>
        </w:tc>
        <w:tc>
          <w:tcPr>
            <w:tcW w:type="dxa" w:w="2608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animId=200；别名 c1050#a000_020000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词条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222222"/>
                <w:sz w:val="18"/>
              </w:rPr>
              <w:t>cXXXX#AXXXX.eN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222222"/>
                <w:sz w:val="18"/>
              </w:rPr>
              <w:t>c1050#A0200.e0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该动画 events[0]</w:t>
            </w:r>
          </w:p>
        </w:tc>
      </w:tr>
      <w:tr>
        <w:tc>
          <w:tcPr>
            <w:tcW w:type="dxa" w:w="1361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字段</w:t>
            </w:r>
          </w:p>
        </w:tc>
        <w:tc>
          <w:tcPr>
            <w:tcW w:type="dxa" w:w="2381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222222"/>
                <w:sz w:val="18"/>
              </w:rPr>
              <w:t>….eN.field</w:t>
            </w:r>
          </w:p>
        </w:tc>
        <w:tc>
          <w:tcPr>
            <w:tcW w:type="dxa" w:w="3061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222222"/>
                <w:sz w:val="18"/>
              </w:rPr>
              <w:t>c1050#A0200.e0.startFrame</w:t>
            </w:r>
          </w:p>
        </w:tc>
        <w:tc>
          <w:tcPr>
            <w:tcW w:type="dxa" w:w="2608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起始帧 / 结束帧 / 已解码参数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hAnsi="Calibri" w:eastAsia="微软雅黑"/>
          <w:b/>
          <w:color w:val="1B3A4B"/>
          <w:sz w:val="28"/>
        </w:rPr>
        <w:t>3.2 写入例子</w:t>
      </w:r>
    </w:p>
    <w:p>
      <w:pPr>
        <w:spacing w:before="80" w:after="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c1050#A0200.e0.startFrame = 438</w:t>
      </w:r>
    </w:p>
    <w:p>
      <w:pPr>
        <w:spacing w:before="0" w:after="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c1050#A0200.e0.endFrame   = 441</w:t>
      </w:r>
    </w:p>
    <w:p>
      <w:pPr>
        <w:spacing w:before="0" w:after="20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c1050#A0200.e0.SoundID    = 105011001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未解码参数体禁止编造字段名，只能按模板 insert-event 拷贝。SoundID / SpEffect / Bullet / Atk 的数值本身走 mutate_param_fields，TAE 只存引用 ID。</w:t>
      </w:r>
    </w:p>
    <w:p>
      <w:pPr>
        <w:pStyle w:val="Heading2"/>
        <w:spacing w:before="280" w:after="160"/>
      </w:pPr>
      <w:r>
        <w:rPr>
          <w:rFonts w:ascii="Calibri" w:hAnsi="Calibri" w:eastAsia="微软雅黑"/>
          <w:b/>
          <w:color w:val="1B3A4B"/>
          <w:sz w:val="28"/>
        </w:rPr>
        <w:t>3.3 RAG / 工具必须交出的正文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每一条词条一块，字段给全，不许 24 条指令、200 条动画这种显示上限渗进索引。</w:t>
      </w:r>
    </w:p>
    <w:p>
      <w:pPr>
        <w:spacing w:before="80" w:after="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chr c1050</w:t>
      </w:r>
    </w:p>
    <w:p>
      <w:pPr>
        <w:spacing w:before="0" w:after="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anim A0200 animId 200 hkx a000_020000</w:t>
      </w:r>
    </w:p>
    <w:p>
      <w:pPr>
        <w:spacing w:before="0" w:after="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event e0 type 128 PlaySound_General</w:t>
      </w:r>
    </w:p>
    <w:p>
      <w:pPr>
        <w:spacing w:before="0" w:after="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startFrame 438 endFrame 441 startTime 14.6 endTime 14.7</w:t>
      </w:r>
    </w:p>
    <w:p>
      <w:pPr>
        <w:spacing w:before="0" w:after="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SoundType 1 SoundID 105011001</w:t>
      </w:r>
    </w:p>
    <w:p>
      <w:pPr>
        <w:spacing w:before="0" w:after="20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source chr/c1050.anibnd.dcx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检索「c1050」「A200」「A0200」「PlaySound」「438」「105011001」都必须能落到这块。queryParse 不得把 a000_020000 拆成 a000 与 020000。</w:t>
      </w:r>
    </w:p>
    <w:p>
      <w:pPr>
        <w:pStyle w:val="Heading1"/>
        <w:spacing w:before="120" w:after="160"/>
      </w:pPr>
      <w:r>
        <w:rPr>
          <w:rFonts w:ascii="Calibri" w:hAnsi="Calibri" w:eastAsia="微软雅黑"/>
          <w:b/>
          <w:color w:val="1B3A4B"/>
          <w:sz w:val="36"/>
        </w:rPr>
        <w:t>4. 地图编址  MXXX / mxxxx / 实体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区域是 M + 地图号两位（m11_01_00_00 → M11）。块是完整四段 mAA_BB_CC_DD，下划线是 ID 的一部分，禁止拆开。实体用 MSB 里的 part / region / event 名。</w:t>
      </w:r>
    </w:p>
    <w:p>
      <w:pPr>
        <w:pStyle w:val="Heading2"/>
        <w:spacing w:before="280" w:after="160"/>
      </w:pPr>
      <w:r>
        <w:rPr>
          <w:rFonts w:ascii="Calibri" w:hAnsi="Calibri" w:eastAsia="微软雅黑"/>
          <w:b/>
          <w:color w:val="1B3A4B"/>
          <w:sz w:val="28"/>
        </w:rPr>
        <w:t>4.1 地址语法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1B3A4B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381"/>
            <w:shd w:val="clear" w:color="auto" w:fill="1B3A4B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形式</w:t>
            </w:r>
          </w:p>
        </w:tc>
        <w:tc>
          <w:tcPr>
            <w:tcW w:type="dxa" w:w="3175"/>
            <w:shd w:val="clear" w:color="auto" w:fill="1B3A4B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例子</w:t>
            </w:r>
          </w:p>
        </w:tc>
        <w:tc>
          <w:tcPr>
            <w:tcW w:type="dxa" w:w="2494"/>
            <w:shd w:val="clear" w:color="auto" w:fill="1B3A4B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区域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222222"/>
                <w:sz w:val="18"/>
              </w:rPr>
              <w:t>MXX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222222"/>
                <w:sz w:val="18"/>
              </w:rPr>
              <w:t>M11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只狼图号，如苇名城一带</w:t>
            </w:r>
          </w:p>
        </w:tc>
      </w:tr>
      <w:tr>
        <w:tc>
          <w:tcPr>
            <w:tcW w:type="dxa" w:w="1361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块</w:t>
            </w:r>
          </w:p>
        </w:tc>
        <w:tc>
          <w:tcPr>
            <w:tcW w:type="dxa" w:w="2381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222222"/>
                <w:sz w:val="18"/>
              </w:rPr>
              <w:t>mAA_BB_CC_DD</w:t>
            </w:r>
          </w:p>
        </w:tc>
        <w:tc>
          <w:tcPr>
            <w:tcW w:type="dxa" w:w="3175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222222"/>
                <w:sz w:val="18"/>
              </w:rPr>
              <w:t>m11_01_00_00</w:t>
            </w:r>
          </w:p>
        </w:tc>
        <w:tc>
          <w:tcPr>
            <w:tcW w:type="dxa" w:w="2494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具体 msb / mapbnd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实体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222222"/>
                <w:sz w:val="18"/>
              </w:rPr>
              <w:t>mAA_BB_CC_DD#name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222222"/>
                <w:sz w:val="18"/>
              </w:rPr>
              <w:t>m11_01_00_00#c1050_0000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part / region / event 名</w:t>
            </w:r>
          </w:p>
        </w:tc>
      </w:tr>
      <w:tr>
        <w:tc>
          <w:tcPr>
            <w:tcW w:type="dxa" w:w="1361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字段</w:t>
            </w:r>
          </w:p>
        </w:tc>
        <w:tc>
          <w:tcPr>
            <w:tcW w:type="dxa" w:w="2381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222222"/>
                <w:sz w:val="18"/>
              </w:rPr>
              <w:t>…#name.field</w:t>
            </w:r>
          </w:p>
        </w:tc>
        <w:tc>
          <w:tcPr>
            <w:tcW w:type="dxa" w:w="3175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222222"/>
                <w:sz w:val="18"/>
              </w:rPr>
              <w:t>m11_01_00_00#c1050_0000.posX</w:t>
            </w:r>
          </w:p>
        </w:tc>
        <w:tc>
          <w:tcPr>
            <w:tcW w:type="dxa" w:w="2494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位置 / 旋转 / 缩放 / model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hAnsi="Calibri" w:eastAsia="微软雅黑"/>
          <w:b/>
          <w:color w:val="1B3A4B"/>
          <w:sz w:val="28"/>
        </w:rPr>
        <w:t>4.2 写入例子</w:t>
      </w:r>
    </w:p>
    <w:p>
      <w:pPr>
        <w:spacing w:before="80" w:after="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m11_01_00_00#c1050_0000.posX = 12.5</w:t>
      </w:r>
    </w:p>
    <w:p>
      <w:pPr>
        <w:spacing w:before="0" w:after="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m11_01_00_00#c1050_0000.posY = 0.0</w:t>
      </w:r>
    </w:p>
    <w:p>
      <w:pPr>
        <w:spacing w:before="0" w:after="20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m11_01_00_00#c1050_0000.posZ = -3.2</w:t>
      </w:r>
    </w:p>
    <w:p>
      <w:pPr>
        <w:pStyle w:val="Heading2"/>
        <w:spacing w:before="280" w:after="160"/>
      </w:pPr>
      <w:r>
        <w:rPr>
          <w:rFonts w:ascii="Calibri" w:hAnsi="Calibri" w:eastAsia="微软雅黑"/>
          <w:b/>
          <w:color w:val="1B3A4B"/>
          <w:sz w:val="28"/>
        </w:rPr>
        <w:t>4.3 RAG / 工具必须交出的正文</w:t>
      </w:r>
    </w:p>
    <w:p>
      <w:pPr>
        <w:spacing w:before="80" w:after="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area M11</w:t>
      </w:r>
    </w:p>
    <w:p>
      <w:pPr>
        <w:spacing w:before="0" w:after="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map m11_01_00_00</w:t>
      </w:r>
    </w:p>
    <w:p>
      <w:pPr>
        <w:spacing w:before="0" w:after="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part c1050_0000 kind character</w:t>
      </w:r>
    </w:p>
    <w:p>
      <w:pPr>
        <w:spacing w:before="0" w:after="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model c1050 modelIndex 3</w:t>
      </w:r>
    </w:p>
    <w:p>
      <w:pPr>
        <w:spacing w:before="0" w:after="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pos 12.5 0.0 -3.2</w:t>
      </w:r>
    </w:p>
    <w:p>
      <w:pPr>
        <w:spacing w:before="0" w:after="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rot 0 90 0 scale 1 1 1</w:t>
      </w:r>
    </w:p>
    <w:p>
      <w:pPr>
        <w:spacing w:before="0" w:after="200"/>
        <w:ind w:left="227"/>
      </w:pPr>
      <w:r>
        <w:rPr>
          <w:rFonts w:ascii="Consolas" w:hAnsi="Consolas" w:eastAsia="微软雅黑"/>
          <w:b w:val="0"/>
          <w:color w:val="2A2A2A"/>
          <w:sz w:val="20"/>
        </w:rPr>
        <w:t>source map/m11_01_00_00/m11_01_00_00.msb.dcx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检索「M11」「m11_01_00_00」「c1050_0000」必须命中。queryParse 不得把 m11_01_00_00 按 _ 拆开。</w:t>
      </w:r>
    </w:p>
    <w:p>
      <w:pPr>
        <w:pStyle w:val="Heading1"/>
        <w:spacing w:before="120" w:after="160"/>
      </w:pPr>
      <w:r>
        <w:rPr>
          <w:rFonts w:ascii="Calibri" w:hAnsi="Calibri" w:eastAsia="微软雅黑"/>
          <w:b/>
          <w:color w:val="1B3A4B"/>
          <w:sz w:val="36"/>
        </w:rPr>
        <w:t>5. 和现有工具怎么接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48"/>
            <w:shd w:val="clear" w:color="auto" w:fill="1B3A4B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地址里出现的东西</w:t>
            </w:r>
          </w:p>
        </w:tc>
        <w:tc>
          <w:tcPr>
            <w:tcW w:type="dxa" w:w="3402"/>
            <w:shd w:val="clear" w:color="auto" w:fill="1B3A4B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权威工具</w:t>
            </w:r>
          </w:p>
        </w:tc>
        <w:tc>
          <w:tcPr>
            <w:tcW w:type="dxa" w:w="3061"/>
            <w:shd w:val="clear" w:color="auto" w:fill="1B3A4B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不要做的事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cXXXX#AXXXX.eN.startFrame / endFrame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未来 read_tae_events / mutate_tae_event_times（包 write-tae-document）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当 UTF-8 覆盖 anibnd</w:t>
            </w:r>
          </w:p>
        </w:tc>
      </w:tr>
      <w:tr>
        <w:tc>
          <w:tcPr>
            <w:tcW w:type="dxa" w:w="2948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词条里的 SoundID / SpEffect / Bullet / Atk</w:t>
            </w:r>
          </w:p>
        </w:tc>
        <w:tc>
          <w:tcPr>
            <w:tcW w:type="dxa" w:w="3402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现有 mutate_param_fields</w:t>
            </w:r>
          </w:p>
        </w:tc>
        <w:tc>
          <w:tcPr>
            <w:tcW w:type="dxa" w:w="3061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在 TAE 里再做一套数值编辑器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角色/物品显示名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现有 mutate_fmg_entries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把 msgbnd 当文本文件</w:t>
            </w:r>
          </w:p>
        </w:tc>
      </w:tr>
      <w:tr>
        <w:tc>
          <w:tcPr>
            <w:tcW w:type="dxa" w:w="2948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mxxxx#name.pos / rot / scale</w:t>
            </w:r>
          </w:p>
        </w:tc>
        <w:tc>
          <w:tcPr>
            <w:tcW w:type="dxa" w:w="3402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未来 read_msb_parts / mutate_msb_part_transform（包 write-msb）</w:t>
            </w:r>
          </w:p>
        </w:tc>
        <w:tc>
          <w:tcPr>
            <w:tcW w:type="dxa" w:w="3061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地图页底下「实时模式」暗门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part.model → cXXXX / 地图 FLVER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现有 FlverViewer / FLVER 工作台（全部网格）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只画 mesh[0] 或 12 个盒子</w:t>
            </w:r>
          </w:p>
        </w:tc>
      </w:tr>
      <w:tr>
        <w:tc>
          <w:tcPr>
            <w:tcW w:type="dxa" w:w="2948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地图 event 对到的 EMEVD id</w:t>
            </w:r>
          </w:p>
        </w:tc>
        <w:tc>
          <w:tcPr>
            <w:tcW w:type="dxa" w:w="3402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现有 apply_emevd_dsl</w:t>
            </w:r>
          </w:p>
        </w:tc>
        <w:tc>
          <w:tcPr>
            <w:tcW w:type="dxa" w:w="3061"/>
            <w:shd w:val="clear" w:color="auto" w:fill="F7F4EE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在地图页嵌一套事件 DSL</w:t>
            </w:r>
          </w:p>
        </w:tc>
      </w:tr>
    </w:tbl>
    <w:p>
      <w:pPr>
        <w:spacing w:after="120"/>
      </w:pPr>
    </w:p>
    <w:p>
      <w:pPr>
        <w:pStyle w:val="Heading1"/>
        <w:spacing w:before="120" w:after="160"/>
      </w:pPr>
      <w:r>
        <w:rPr>
          <w:rFonts w:ascii="Calibri" w:hAnsi="Calibri" w:eastAsia="微软雅黑"/>
          <w:b/>
          <w:color w:val="1B3A4B"/>
          <w:sz w:val="36"/>
        </w:rPr>
        <w:t>6. 现在缺什么（后端）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RAG 家族只有 file / event / map_entity / map_region / param_row / text_entry。event 是 EMEVD，不是 TAE。没有 tae_event 家族，Agent 检索「c1050 A0200 PlaySound 438」落不到词条。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map_entity 正文只有 name / kind / model / mapId / position，没有 M11、没有完整 mAA_BB_CC_DD 原子 ID、没有 rot/scale/modelIndex。export-map 在 Bridge 里仍是未实现候选。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queryParse 把 _ - . / 都切成空格，m11_01_00_00 和 a000_020000 会被拆碎。tokenize 还丢掉长度小于等于 2 的非数字词。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Agent 还没有 read_tae_* / read_msb_*。显示层 200/40/12/256 若渗进索引，检索会假装完整。</w:t>
      </w:r>
    </w:p>
    <w:p>
      <w:pPr>
        <w:pStyle w:val="Heading1"/>
        <w:spacing w:before="120" w:after="160"/>
      </w:pPr>
      <w:r>
        <w:rPr>
          <w:rFonts w:ascii="Calibri" w:hAnsi="Calibri" w:eastAsia="微软雅黑"/>
          <w:b/>
          <w:color w:val="1B3A4B"/>
          <w:sz w:val="36"/>
        </w:rPr>
        <w:t>7. 开工时必须做的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1. 索引与 RAG 为每条 TAE 词条、每个 MSB part/region 产出上面这种正文和稳定 symbolUri（action://c1050/A0200/e0、map://m11_01_00_00/part/c1050_0000）。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2. retrieve_evidence / search_* 能按 c1050、A0200、M11、m11_01_00_00 命中。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3. 读写工具的入参收同一套地址，不要另一套 path+index。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4. 界面可以继续三栏，但选中行的 data-cite / 复制地址必须是这套字符串。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5. 字段给全。不要 MAX_FIELDS=24、MAX_INSTRUCTIONS=24 砍进 Agent 可见正文。</w:t>
      </w:r>
    </w:p>
    <w:p>
      <w:pPr>
        <w:pStyle w:val="Heading1"/>
        <w:spacing w:before="120" w:after="160"/>
      </w:pPr>
      <w:r>
        <w:rPr>
          <w:rFonts w:ascii="Calibri" w:hAnsi="Calibri" w:eastAsia="微软雅黑"/>
          <w:b/>
          <w:color w:val="1B3A4B"/>
          <w:sz w:val="36"/>
        </w:rPr>
        <w:t>8. 不要做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不要把 anibnd / mapbnd 解成工作区里一堆裸文件再当「适配」。不要为动作/地图再写一套数值编辑器去抢 PARAM。不要虚拟滚动、不要显示条数上限。不要做动画播放和编排。不要改治理 seal。</w:t>
      </w:r>
    </w:p>
    <w:p>
      <w:pPr>
        <w:pStyle w:val="Heading1"/>
        <w:spacing w:before="120" w:after="160"/>
      </w:pPr>
      <w:r>
        <w:rPr>
          <w:rFonts w:ascii="Calibri" w:hAnsi="Calibri" w:eastAsia="微软雅黑"/>
          <w:b/>
          <w:color w:val="1B3A4B"/>
          <w:sz w:val="36"/>
        </w:rPr>
        <w:t>9. Flash 施工单（按刀做，做完一刀再下一刀）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详细锚点、测试命令、负向扰动以 锐评/grok.txt 问题 6 为准。这里只留顺序，避免 flash 一次改二十个文件。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只读：本文件 1–5 节 + grok 问题 6 的「给 flash 的读法」列出的六个文件。不要通读交接书。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6-A  queryParse / tokenize：先抽出原子地址再切词。m11_01_00_00、a000_020000、c1050#A0200 不得被拆。lookupIndex 把原子词推进 byToken。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6-B  地图正文：MapEntitySymbol 补 modelIndex / scale / areaId；chunk 写成 area M11 + map m11_01_00_00 + address。不要实现 C# export-map，用 read-msb-document 的 parts 投影。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6-C  新家族 tae_event（不要改旧 event=EMEVD）。ResourceKind action 已存在。从 read-tae-document 信封投影 TaeExport。每条词条一块，SoundID 进 numericIds。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6-D  只加只读工具 search_tae_events。retrieve_evidence 说明里写上 cXXXX / AXXXX / MXX。跑 schema 门禁。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6-E  runRagRetrieveSmoke 加 c1050、A0200、m11_01_00_00、M11；旧 1100800 / 狼的义手 / common.emevd.dcx 必须仍绿。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6-F  下一 worktree：照抄 fmgEdit / emevdEdit 做 taeEdit / msbEdit。入参是地址字符串。写只包已有 write-tae-document / write-msb。本刀不做预览。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公共文件 packages/shared/src/soulAddress.ts（index.ts 要 export）。所有 padStart / 正则只准写在这里。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color w:val="222222"/>
          <w:sz w:val="22"/>
        </w:rPr>
        <w:t>验证：npm run typecheck ； npm run test:rag。不要 gov seal。不要虚拟滚动。</w:t>
      </w:r>
    </w:p>
    <w:p>
      <w:pPr>
        <w:spacing w:after="160" w:before="320" w:line="276" w:lineRule="auto"/>
      </w:pPr>
      <w:r>
        <w:rPr>
          <w:rFonts w:ascii="Calibri" w:hAnsi="Calibri" w:eastAsia="微软雅黑"/>
          <w:b w:val="0"/>
          <w:color w:val="555555"/>
          <w:sz w:val="22"/>
        </w:rPr>
        <w:t>本文与 锐评/grok.txt 问题 6 同步。冲突时以用户当次口述为准，两份一起改。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b w:val="0"/>
        <w:color w:val="555555"/>
        <w:sz w:val="18"/>
      </w:rPr>
      <w:t>与 锐评/grok.txt 问题 6 同一口径 · 2026-08-19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微软雅黑"/>
        <w:b w:val="0"/>
        <w:color w:val="555555"/>
        <w:sz w:val="18"/>
      </w:rPr>
      <w:t>SoulForge · 动作 / 地图 Agent 编址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