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yTitle"/>
        <w:jc w:val="center"/>
      </w:pPr>
      <w:r>
        <w:rPr>
          <w:rFonts w:ascii="Noto Sans CJK SC" w:hAnsi="Noto Sans CJK SC" w:eastAsia="Noto Sans CJK SC" w:cs="Noto Sans CJK SC"/>
        </w:rPr>
        <w:t>智游宝 SaaS 产品功能整理</w:t>
      </w:r>
    </w:p>
    <w:p>
      <w:pPr>
        <w:pStyle w:val="MySubtitle"/>
        <w:jc w:val="center"/>
      </w:pPr>
      <w:r>
        <w:rPr>
          <w:rFonts w:ascii="Noto Sans CJK SC" w:hAnsi="Noto Sans CJK SC" w:eastAsia="Noto Sans CJK SC" w:cs="Noto Sans CJK SC"/>
        </w:rPr>
        <w:t>按公开资料整理｜适合做选型前研究与销售访谈提纲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701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21"/>
              </w:rPr>
              <w:t>品牌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智游宝</w:t>
            </w:r>
          </w:p>
        </w:tc>
      </w:tr>
      <w:tr>
        <w:tc>
          <w:tcPr>
            <w:tcW w:type="dxa" w:w="1701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21"/>
              </w:rPr>
              <w:t>适用行业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文旅 / 景区 / 温泉 / 滑雪场 / 剧院 / 酒店 / 旅行社 / 旅游局</w:t>
            </w:r>
          </w:p>
        </w:tc>
      </w:tr>
      <w:tr>
        <w:tc>
          <w:tcPr>
            <w:tcW w:type="dxa" w:w="1701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21"/>
              </w:rPr>
              <w:t>整理口径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本文件聚焦智游宝作为“智慧旅游公众服务支撑平台”和“互联网电子票务引擎”的 SaaS 能力；集团级、目的地级项目能力另见《深大智能》文档。</w:t>
            </w:r>
          </w:p>
        </w:tc>
      </w:tr>
      <w:tr>
        <w:tc>
          <w:tcPr>
            <w:tcW w:type="dxa" w:w="1701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21"/>
              </w:rPr>
              <w:t>整理日期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2026-06-12（基于公开可访问资料）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7F7F7"/>
          </w:tcPr>
          <w:p>
            <w:r>
              <w:rPr>
                <w:rFonts w:ascii="Noto Sans CJK SC" w:hAnsi="Noto Sans CJK SC" w:eastAsia="Noto Sans CJK SC" w:cs="Noto Sans CJK SC"/>
                <w:b/>
              </w:rPr>
              <w:t>说明：</w:t>
            </w:r>
            <w:r>
              <w:rPr>
                <w:rFonts w:ascii="Noto Sans CJK SC" w:hAnsi="Noto Sans CJK SC" w:eastAsia="Noto Sans CJK SC" w:cs="Noto Sans CJK SC"/>
                <w:sz w:val="19"/>
              </w:rPr>
              <w:t>本文件聚焦智游宝作为“智慧旅游公众服务支撑平台”和“互联网电子票务引擎”的 SaaS 能力；集团级、目的地级项目能力另见《深大智能》文档。</w:t>
            </w:r>
          </w:p>
        </w:tc>
      </w:tr>
    </w:tbl>
    <w:p>
      <w:pPr>
        <w:pStyle w:val="MyHeading1"/>
      </w:pPr>
      <w:r>
        <w:rPr>
          <w:rFonts w:ascii="Noto Sans CJK SC" w:hAnsi="Noto Sans CJK SC" w:eastAsia="Noto Sans CJK SC" w:cs="Noto Sans CJK SC"/>
        </w:rPr>
        <w:t>一、快速结论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21"/>
        </w:rPr>
        <w:t>1. 公开资料将智游宝定位为智慧旅游公众服务支撑平台，可为地方政府、旅游局、旅游景区、酒店、客栈、旅行社等提供线上线下 O2O 技术支撑。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21"/>
        </w:rPr>
        <w:t>2. 平台核心是电子票务交易引擎，负责验票码生成、编码、发码、验码、管理以及数字证书、身份确认等安全服务。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21"/>
        </w:rPr>
        <w:t>3. 除票务中台外，智游宝还公开展示了渠道接入、财务结算、门票库存/售检票、自助售取票设备与旅游大数据分析能力。</w:t>
      </w:r>
    </w:p>
    <w:p>
      <w:pPr>
        <w:pStyle w:val="MyHeading1"/>
      </w:pPr>
      <w:r>
        <w:rPr>
          <w:rFonts w:ascii="Noto Sans CJK SC" w:hAnsi="Noto Sans CJK SC" w:eastAsia="Noto Sans CJK SC" w:cs="Noto Sans CJK SC"/>
        </w:rPr>
        <w:t>二、公开产品矩阵概览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21"/>
              </w:rPr>
              <w:t>产品/板块</w:t>
            </w:r>
          </w:p>
        </w:tc>
        <w:tc>
          <w:tcPr>
            <w:tcW w:type="dxa" w:w="3402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21"/>
              </w:rPr>
              <w:t>公开定位</w:t>
            </w:r>
          </w:p>
        </w:tc>
        <w:tc>
          <w:tcPr>
            <w:tcW w:type="dxa" w:w="3402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21"/>
              </w:rPr>
              <w:t>主要适用场景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21"/>
              </w:rPr>
              <w:t>电子票务引擎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发码/验码/安全认证中台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景区门票、演出票、赛事票、酒店及旅游商品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21"/>
              </w:rPr>
              <w:t>渠道与分销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OTA/旅行社/直营网点接入平台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线上 OTA、传统旅行社、直营网点、会员分销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21"/>
              </w:rPr>
              <w:t>财务与结算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信用额度与快捷结算体系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渠道结算、备用金、授信、自动对账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21"/>
              </w:rPr>
              <w:t>售检票与现场设备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自助售取票与核验设备体系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云终端、闸机、手持机、自助售取票机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21"/>
              </w:rPr>
              <w:t>旅游大数据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渠道、客流、客源地、游客画像分析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景区运营、旅游局监测、目的地营销</w:t>
            </w:r>
          </w:p>
        </w:tc>
      </w:tr>
    </w:tbl>
    <w:p>
      <w:pPr>
        <w:pStyle w:val="MyHeading1"/>
      </w:pPr>
      <w:r>
        <w:rPr>
          <w:rFonts w:ascii="Noto Sans CJK SC" w:hAnsi="Noto Sans CJK SC" w:eastAsia="Noto Sans CJK SC" w:cs="Noto Sans CJK SC"/>
        </w:rPr>
        <w:t>三、详细功能拆解</w:t>
      </w:r>
    </w:p>
    <w:p>
      <w:pPr>
        <w:pStyle w:val="MyHeading2"/>
      </w:pPr>
      <w:r>
        <w:rPr>
          <w:rFonts w:ascii="Noto Sans CJK SC" w:hAnsi="Noto Sans CJK SC" w:eastAsia="Noto Sans CJK SC" w:cs="Noto Sans CJK SC"/>
        </w:rPr>
        <w:t>电子票务引擎</w:t>
      </w:r>
    </w:p>
    <w:p>
      <w:pPr/>
      <w:r>
        <w:rPr>
          <w:rFonts w:ascii="Noto Sans CJK SC" w:hAnsi="Noto Sans CJK SC" w:eastAsia="Noto Sans CJK SC" w:cs="Noto Sans CJK SC"/>
          <w:b/>
        </w:rPr>
        <w:t>定位：</w:t>
      </w:r>
      <w:r>
        <w:rPr>
          <w:rFonts w:ascii="Noto Sans CJK SC" w:hAnsi="Noto Sans CJK SC" w:eastAsia="Noto Sans CJK SC" w:cs="Noto Sans CJK SC"/>
          <w:sz w:val="21"/>
        </w:rPr>
        <w:t>智游宝最核心的 SaaS 能力，承担电子票务交易中的编码、发码、验码与交易安全。</w:t>
      </w:r>
    </w:p>
    <w:p>
      <w:pPr/>
      <w:r>
        <w:rPr>
          <w:rFonts w:ascii="Noto Sans CJK SC" w:hAnsi="Noto Sans CJK SC" w:eastAsia="Noto Sans CJK SC" w:cs="Noto Sans CJK SC"/>
          <w:b/>
        </w:rPr>
        <w:t>详细功能（按公开资料可确认）：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负责验票码生成、编码、发码、验码、管理，并提供数字证书签发、身份确认等安全服务。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支持电子票与实体票场景，帮助景区与分销商之间完成标准化交易流转。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支持游客刷二维码或二代身份证入园，减少换票环节。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可对接线下票务系统，实现线上线下一体化票型编码管理。</w:t>
      </w:r>
    </w:p>
    <w:p>
      <w:pPr/>
      <w:r>
        <w:rPr>
          <w:rFonts w:ascii="Noto Sans CJK SC" w:hAnsi="Noto Sans CJK SC" w:eastAsia="Noto Sans CJK SC" w:cs="Noto Sans CJK SC"/>
          <w:b/>
        </w:rPr>
        <w:t>典型场景：</w:t>
      </w:r>
      <w:r>
        <w:rPr>
          <w:rFonts w:ascii="Noto Sans CJK SC" w:hAnsi="Noto Sans CJK SC" w:eastAsia="Noto Sans CJK SC" w:cs="Noto Sans CJK SC"/>
          <w:sz w:val="21"/>
        </w:rPr>
        <w:t>适合已有景区/演出/票务资源，希望快速完成在线票务电子化与统一验票的运营主体。</w:t>
      </w:r>
    </w:p>
    <w:p>
      <w:pPr>
        <w:pStyle w:val="MyHeading2"/>
      </w:pPr>
      <w:r>
        <w:rPr>
          <w:rFonts w:ascii="Noto Sans CJK SC" w:hAnsi="Noto Sans CJK SC" w:eastAsia="Noto Sans CJK SC" w:cs="Noto Sans CJK SC"/>
        </w:rPr>
        <w:t>渠道与分销管理</w:t>
      </w:r>
    </w:p>
    <w:p>
      <w:pPr/>
      <w:r>
        <w:rPr>
          <w:rFonts w:ascii="Noto Sans CJK SC" w:hAnsi="Noto Sans CJK SC" w:eastAsia="Noto Sans CJK SC" w:cs="Noto Sans CJK SC"/>
          <w:b/>
        </w:rPr>
        <w:t>定位：</w:t>
      </w:r>
      <w:r>
        <w:rPr>
          <w:rFonts w:ascii="Noto Sans CJK SC" w:hAnsi="Noto Sans CJK SC" w:eastAsia="Noto Sans CJK SC" w:cs="Noto Sans CJK SC"/>
          <w:sz w:val="21"/>
        </w:rPr>
        <w:t>把景区供应侧与 OTA、旅行社、直营网点连接起来的渠道 SaaS 平台。</w:t>
      </w:r>
    </w:p>
    <w:p>
      <w:pPr/>
      <w:r>
        <w:rPr>
          <w:rFonts w:ascii="Noto Sans CJK SC" w:hAnsi="Noto Sans CJK SC" w:eastAsia="Noto Sans CJK SC" w:cs="Noto Sans CJK SC"/>
          <w:b/>
        </w:rPr>
        <w:t>详细功能（按公开资料可确认）：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支持一站式接入线上分销渠道，公开资料显示可打通数十家在线旅游网站，并在案例中提到覆盖 140+ 平台。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解决方案覆盖游客端、直销平台、OTA、旅行社、大型旅行社、旅游局、景区、酒店、剧院、餐厅、滑雪场、温泉等多种角色与业态。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供应商与分销商可在集团用户下设置共享资源或私有资源，适用于多主体协作场景。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支持渠道价格管理，并可定位违规销售渠道。</w:t>
      </w:r>
    </w:p>
    <w:p>
      <w:pPr/>
      <w:r>
        <w:rPr>
          <w:rFonts w:ascii="Noto Sans CJK SC" w:hAnsi="Noto Sans CJK SC" w:eastAsia="Noto Sans CJK SC" w:cs="Noto Sans CJK SC"/>
          <w:b/>
        </w:rPr>
        <w:t>典型场景：</w:t>
      </w:r>
      <w:r>
        <w:rPr>
          <w:rFonts w:ascii="Noto Sans CJK SC" w:hAnsi="Noto Sans CJK SC" w:eastAsia="Noto Sans CJK SC" w:cs="Noto Sans CJK SC"/>
          <w:sz w:val="21"/>
        </w:rPr>
        <w:t>适合多渠道售票的景区、度假区、温泉或演艺项目，希望统一管理渠道接入、价格、库存与分销秩序。</w:t>
      </w:r>
    </w:p>
    <w:p>
      <w:pPr>
        <w:pStyle w:val="MyHeading2"/>
      </w:pPr>
      <w:r>
        <w:rPr>
          <w:rFonts w:ascii="Noto Sans CJK SC" w:hAnsi="Noto Sans CJK SC" w:eastAsia="Noto Sans CJK SC" w:cs="Noto Sans CJK SC"/>
        </w:rPr>
        <w:t>财务结算与门票库存管理</w:t>
      </w:r>
    </w:p>
    <w:p>
      <w:pPr/>
      <w:r>
        <w:rPr>
          <w:rFonts w:ascii="Noto Sans CJK SC" w:hAnsi="Noto Sans CJK SC" w:eastAsia="Noto Sans CJK SC" w:cs="Noto Sans CJK SC"/>
          <w:b/>
        </w:rPr>
        <w:t>定位：</w:t>
      </w:r>
      <w:r>
        <w:rPr>
          <w:rFonts w:ascii="Noto Sans CJK SC" w:hAnsi="Noto Sans CJK SC" w:eastAsia="Noto Sans CJK SC" w:cs="Noto Sans CJK SC"/>
          <w:sz w:val="21"/>
        </w:rPr>
        <w:t>围绕订单、库存、结算与报表的运营后台。</w:t>
      </w:r>
    </w:p>
    <w:p>
      <w:pPr/>
      <w:r>
        <w:rPr>
          <w:rFonts w:ascii="Noto Sans CJK SC" w:hAnsi="Noto Sans CJK SC" w:eastAsia="Noto Sans CJK SC" w:cs="Noto Sans CJK SC"/>
          <w:b/>
        </w:rPr>
        <w:t>详细功能（按公开资料可确认）：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官网强调可做信用额度授权、备用金管理与快捷结算，降低渠道合作摩擦。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在景区案例中公开提到门票库存管理、客户管理、售检票管理与实时报表。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温泉和景区案例提到能够自动统计订单、客流、客源地、各分销商销售数据并自动对账。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可结合渠道分析报表评估不同平台的销售贡献。</w:t>
      </w:r>
    </w:p>
    <w:p>
      <w:pPr/>
      <w:r>
        <w:rPr>
          <w:rFonts w:ascii="Noto Sans CJK SC" w:hAnsi="Noto Sans CJK SC" w:eastAsia="Noto Sans CJK SC" w:cs="Noto Sans CJK SC"/>
          <w:b/>
        </w:rPr>
        <w:t>典型场景：</w:t>
      </w:r>
      <w:r>
        <w:rPr>
          <w:rFonts w:ascii="Noto Sans CJK SC" w:hAnsi="Noto Sans CJK SC" w:eastAsia="Noto Sans CJK SC" w:cs="Noto Sans CJK SC"/>
          <w:sz w:val="21"/>
        </w:rPr>
        <w:t>适合从‘卖票’升级到‘管库存、管账、管渠道绩效’的景区和运营公司。</w:t>
      </w:r>
    </w:p>
    <w:p>
      <w:pPr>
        <w:pStyle w:val="MyHeading2"/>
      </w:pPr>
      <w:r>
        <w:rPr>
          <w:rFonts w:ascii="Noto Sans CJK SC" w:hAnsi="Noto Sans CJK SC" w:eastAsia="Noto Sans CJK SC" w:cs="Noto Sans CJK SC"/>
        </w:rPr>
        <w:t>售检票与现场设备</w:t>
      </w:r>
    </w:p>
    <w:p>
      <w:pPr/>
      <w:r>
        <w:rPr>
          <w:rFonts w:ascii="Noto Sans CJK SC" w:hAnsi="Noto Sans CJK SC" w:eastAsia="Noto Sans CJK SC" w:cs="Noto Sans CJK SC"/>
          <w:b/>
        </w:rPr>
        <w:t>定位：</w:t>
      </w:r>
      <w:r>
        <w:rPr>
          <w:rFonts w:ascii="Noto Sans CJK SC" w:hAnsi="Noto Sans CJK SC" w:eastAsia="Noto Sans CJK SC" w:cs="Noto Sans CJK SC"/>
          <w:sz w:val="21"/>
        </w:rPr>
        <w:t>线上订单与线下现场核验衔接层。</w:t>
      </w:r>
    </w:p>
    <w:p>
      <w:pPr/>
      <w:r>
        <w:rPr>
          <w:rFonts w:ascii="Noto Sans CJK SC" w:hAnsi="Noto Sans CJK SC" w:eastAsia="Noto Sans CJK SC" w:cs="Noto Sans CJK SC"/>
          <w:b/>
        </w:rPr>
        <w:t>详细功能（按公开资料可确认）：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官方设备展示包含立式三辊闸、智游宝云终端、自动售取票机、手持机、全尺寸三辊云闸机、圆弧桥式三辊闸和人脸识别闸机。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自动售取票机支持银联卡、现金购票、查询、小票打印、网上购票取票和自助充值。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支持 RFID、二维条码、二代身份证等核验方式。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FAQ 中提到没有闸机时也可使用桌面式终端 POS 做验票。</w:t>
      </w:r>
    </w:p>
    <w:p>
      <w:pPr/>
      <w:r>
        <w:rPr>
          <w:rFonts w:ascii="Noto Sans CJK SC" w:hAnsi="Noto Sans CJK SC" w:eastAsia="Noto Sans CJK SC" w:cs="Noto Sans CJK SC"/>
          <w:b/>
        </w:rPr>
        <w:t>典型场景：</w:t>
      </w:r>
      <w:r>
        <w:rPr>
          <w:rFonts w:ascii="Noto Sans CJK SC" w:hAnsi="Noto Sans CJK SC" w:eastAsia="Noto Sans CJK SC" w:cs="Noto Sans CJK SC"/>
          <w:sz w:val="21"/>
        </w:rPr>
        <w:t>适合窗口压力大、节假日高峰明显、希望减少人工售检票的景区与场馆。</w:t>
      </w:r>
    </w:p>
    <w:p>
      <w:pPr>
        <w:pStyle w:val="MyHeading2"/>
      </w:pPr>
      <w:r>
        <w:rPr>
          <w:rFonts w:ascii="Noto Sans CJK SC" w:hAnsi="Noto Sans CJK SC" w:eastAsia="Noto Sans CJK SC" w:cs="Noto Sans CJK SC"/>
        </w:rPr>
        <w:t>旅游大数据与运营分析</w:t>
      </w:r>
    </w:p>
    <w:p>
      <w:pPr/>
      <w:r>
        <w:rPr>
          <w:rFonts w:ascii="Noto Sans CJK SC" w:hAnsi="Noto Sans CJK SC" w:eastAsia="Noto Sans CJK SC" w:cs="Noto Sans CJK SC"/>
          <w:b/>
        </w:rPr>
        <w:t>定位：</w:t>
      </w:r>
      <w:r>
        <w:rPr>
          <w:rFonts w:ascii="Noto Sans CJK SC" w:hAnsi="Noto Sans CJK SC" w:eastAsia="Noto Sans CJK SC" w:cs="Noto Sans CJK SC"/>
          <w:sz w:val="21"/>
        </w:rPr>
        <w:t>在票务与渠道数据沉淀基础上形成的分析与决策能力。</w:t>
      </w:r>
    </w:p>
    <w:p>
      <w:pPr/>
      <w:r>
        <w:rPr>
          <w:rFonts w:ascii="Noto Sans CJK SC" w:hAnsi="Noto Sans CJK SC" w:eastAsia="Noto Sans CJK SC" w:cs="Noto Sans CJK SC"/>
          <w:b/>
        </w:rPr>
        <w:t>详细功能（按公开资料可确认）：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官网与案例中都强调渠道分析报表、订单/客流/客源地/分销商销售情况的自动统计。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旅游大数据文章显示，平台可分析游客性别、年龄、来源、人流密度等指标。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公开资料提到可用于线路规划、安全预防、客流疏导、游客画像、舆情判断与二次消费引导。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博览会案例还提到跨区域、多业态的实时数据监控与流量预测。</w:t>
      </w:r>
    </w:p>
    <w:p>
      <w:pPr/>
      <w:r>
        <w:rPr>
          <w:rFonts w:ascii="Noto Sans CJK SC" w:hAnsi="Noto Sans CJK SC" w:eastAsia="Noto Sans CJK SC" w:cs="Noto Sans CJK SC"/>
          <w:b/>
        </w:rPr>
        <w:t>典型场景：</w:t>
      </w:r>
      <w:r>
        <w:rPr>
          <w:rFonts w:ascii="Noto Sans CJK SC" w:hAnsi="Noto Sans CJK SC" w:eastAsia="Noto Sans CJK SC" w:cs="Noto Sans CJK SC"/>
          <w:sz w:val="21"/>
        </w:rPr>
        <w:t>适合旅游局、文旅集团或大型景区做客流监测、营销评估和目的地运营分析。</w:t>
      </w:r>
    </w:p>
    <w:p>
      <w:pPr>
        <w:pStyle w:val="MyHeading1"/>
      </w:pPr>
      <w:r>
        <w:rPr>
          <w:rFonts w:ascii="Noto Sans CJK SC" w:hAnsi="Noto Sans CJK SC" w:eastAsia="Noto Sans CJK SC" w:cs="Noto Sans CJK SC"/>
        </w:rPr>
        <w:t>四、典型适用场景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21"/>
        </w:rPr>
        <w:t>• 中小景区快速接入 OTA、旅行社和直营网点，降低手工对接成本。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21"/>
        </w:rPr>
        <w:t>• 温泉/滑雪/剧院等需要线上分销加现场核验设备联动的项目。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21"/>
        </w:rPr>
        <w:t>• 地方旅游局或文旅集团搭建渠道、客流、客源地与游客画像分析看板。</w:t>
      </w:r>
    </w:p>
    <w:p>
      <w:pPr>
        <w:pStyle w:val="MyHeading1"/>
      </w:pPr>
      <w:r>
        <w:rPr>
          <w:rFonts w:ascii="Noto Sans CJK SC" w:hAnsi="Noto Sans CJK SC" w:eastAsia="Noto Sans CJK SC" w:cs="Noto Sans CJK SC"/>
        </w:rPr>
        <w:t>五、选型时建议重点追问的边界问题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21"/>
        </w:rPr>
        <w:t>• 公开能力里既有标准 SaaS，也有案例式或项目式交付内容，采购前需确认哪些模块可直接标准开通，哪些需要项目实施。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21"/>
        </w:rPr>
        <w:t>• 大量案例发布于较早年份，但仍能反映平台的能力边界；如需确认当前版本功能，应让销售提供最新版产品清单或演示账号。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21"/>
        </w:rPr>
        <w:t>• 如果客户已有自助机、闸机、手持终端或本地票务系统，需要单独确认兼容与对接方式。</w:t>
      </w:r>
    </w:p>
    <w:p>
      <w:pPr>
        <w:pStyle w:val="MyHeading1"/>
      </w:pPr>
      <w:r>
        <w:rPr>
          <w:rFonts w:ascii="Noto Sans CJK SC" w:hAnsi="Noto Sans CJK SC" w:eastAsia="Noto Sans CJK SC" w:cs="Noto Sans CJK SC"/>
        </w:rPr>
        <w:t>六、公开资料来源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18"/>
        </w:rPr>
        <w:t>• 智游宝官网首页：https://www.zhiyoubao.com/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18"/>
        </w:rPr>
        <w:t>• 关于我们：https://www.zhiyoubao.com/aboutUs.htm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18"/>
        </w:rPr>
        <w:t>• 解决方案：https://www.zhiyoubao.com/solution.htm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18"/>
        </w:rPr>
        <w:t>• 设备展示：https://www.zhiyoubao.com/productShow.htm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18"/>
        </w:rPr>
        <w:t>• 新手教程（智游宝介绍）：https://www.zhiyoubao.com/course.htm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18"/>
        </w:rPr>
        <w:t>• 白石山景区案例：https://www.zhiyoubao.com/productSuccessCaseDetail.htm?id=142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18"/>
        </w:rPr>
        <w:t>• 奉化溪口景区案例：https://www.zhiyoubao.com/productSuccessCaseDetail.htm?id=137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18"/>
        </w:rPr>
        <w:t>• 旅游大数据相关文章：https://www.zhiyoubao.com/progress.htm?id=1287</w:t>
      </w:r>
    </w:p>
    <w:sectPr w:rsidR="00FC693F" w:rsidRPr="0006063C" w:rsidSect="00034616">
      <w:footerReference w:type="default" r:id="rId9"/>
      <w:pgSz w:w="11906" w:h="16838"/>
      <w:pgMar w:top="1020" w:right="1191" w:bottom="1020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 w:cs="Noto Sans CJK SC"/>
        <w:sz w:val="16"/>
      </w:rPr>
      <w:t>公开资料整理 | 仅基于可访问页面，不代表厂商完整标准功能包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12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yTitle">
    <w:name w:val="MyTitle"/>
    <w:basedOn w:val="Normal"/>
    <w:pPr>
      <w:spacing w:after="120"/>
    </w:pPr>
    <w:rPr>
      <w:rFonts w:ascii="Noto Sans CJK SC" w:hAnsi="Noto Sans CJK SC" w:eastAsia="Noto Sans CJK SC"/>
      <w:b/>
      <w:sz w:val="40"/>
    </w:rPr>
  </w:style>
  <w:style w:type="paragraph" w:customStyle="1" w:styleId="MySubtitle">
    <w:name w:val="MySubtitle"/>
    <w:basedOn w:val="Normal"/>
    <w:pPr>
      <w:spacing w:after="160"/>
    </w:pPr>
    <w:rPr>
      <w:rFonts w:ascii="Noto Sans CJK SC" w:hAnsi="Noto Sans CJK SC" w:eastAsia="Noto Sans CJK SC"/>
      <w:i w:val="0"/>
      <w:sz w:val="18"/>
    </w:rPr>
  </w:style>
  <w:style w:type="paragraph" w:customStyle="1" w:styleId="MyHeading1">
    <w:name w:val="MyHeading1"/>
    <w:basedOn w:val="Normal"/>
    <w:pPr>
      <w:spacing w:before="200" w:after="80"/>
    </w:pPr>
    <w:rPr>
      <w:rFonts w:ascii="Noto Sans CJK SC" w:hAnsi="Noto Sans CJK SC" w:eastAsia="Noto Sans CJK SC"/>
      <w:b/>
      <w:sz w:val="28"/>
    </w:rPr>
  </w:style>
  <w:style w:type="paragraph" w:customStyle="1" w:styleId="MyHeading2">
    <w:name w:val="MyHeading2"/>
    <w:basedOn w:val="Normal"/>
    <w:pPr>
      <w:spacing w:before="160" w:after="60"/>
    </w:pPr>
    <w:rPr>
      <w:rFonts w:ascii="Noto Sans CJK SC" w:hAnsi="Noto Sans CJK SC" w:eastAsia="Noto Sans CJK SC"/>
      <w:b/>
      <w:sz w:val="23"/>
    </w:rPr>
  </w:style>
  <w:style w:type="paragraph" w:customStyle="1" w:styleId="MyQuote">
    <w:name w:val="MyQuote"/>
    <w:basedOn w:val="Normal"/>
    <w:pPr>
      <w:spacing w:after="80"/>
      <w:ind w:left="283"/>
    </w:pPr>
    <w:rPr>
      <w:rFonts w:ascii="Noto Sans CJK SC" w:hAnsi="Noto Sans CJK SC" w:eastAsia="Noto Sans CJK SC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