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 w:cs="Noto Sans CJK SC"/>
        </w:rPr>
        <w:t>深大智能 SaaS 产品功能整理</w:t>
      </w:r>
    </w:p>
    <w:p>
      <w:pPr>
        <w:pStyle w:val="MySubtitle"/>
        <w:jc w:val="center"/>
      </w:pPr>
      <w:r>
        <w:rPr>
          <w:rFonts w:ascii="Noto Sans CJK SC" w:hAnsi="Noto Sans CJK SC" w:eastAsia="Noto Sans CJK SC" w:cs="Noto Sans CJK SC"/>
        </w:rPr>
        <w:t>按公开资料整理｜适合做选型前研究与销售访谈提纲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品牌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深大智能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适用行业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智慧旅游 / 文旅集团 / 旅游目的地 / 大型景区群 / 政府与旅游局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整理口径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本文件聚焦深大智能集团层的智慧旅游解决方案，不只描述智游宝票务平台。由于集团站点在公开搜索中的可见度较弱，很多可验证信息来自智游宝官网中的“深大权威发布”、项目案例与发展动态。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2026-06-12（基于公开可访问资料）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7F7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说明：</w:t>
            </w:r>
            <w:r>
              <w:rPr>
                <w:rFonts w:ascii="Noto Sans CJK SC" w:hAnsi="Noto Sans CJK SC" w:eastAsia="Noto Sans CJK SC" w:cs="Noto Sans CJK SC"/>
                <w:sz w:val="19"/>
              </w:rPr>
              <w:t>本文件聚焦深大智能集团层的智慧旅游解决方案，不只描述智游宝票务平台。由于集团站点在公开搜索中的可见度较弱，很多可验证信息来自智游宝官网中的“深大权威发布”、项目案例与发展动态。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一、快速结论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1. 公开资料中，深大智能被描述为围绕智慧景区综合解决方案、智慧旅游公众服务支撑平台（智游宝）、旅游目的地 LOTS 生态、旅游产业投融资与旅游大数据展开业务。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2. 深大智能的对外能力明显不止是票务 SaaS，而是偏向“景区/目的地一体化数字化平台 + 设备 + 数据 + 项目实施”。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3. 大型案例显示其交付范围可覆盖多业态票务、电商、中央管控、一卡通、停车、APP、OA、安防监控、酒店温泉、餐饮 POS 与游客二次消费等。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二、公开产品矩阵概览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产品/板块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公开定位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主要适用场景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智慧景区综合平台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 O2O 一体化管理平台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票务、电商、自助售票、一卡通、停车、APP、OA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智游宝公众服务平台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第三方公共服务与电子票务平台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景区与 OTA/旅行社连接、发码验码、安全认证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LOTS 目的地生态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目的地 O2O 运营与资源整合体系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吃住行游购娱整合、非门票收入拓展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旅游大数据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集团/目的地/旅游局分析平台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客流预测、画像、精准营销、安全预警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综合管控与物联基础设施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应急、安防、停车、监控、广播等中枢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大型景区、山岳型景区、跨区域目的地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三、详细功能拆解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智慧景区综合平台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面向大型景区或景区群的一体化 O2O 管理系统。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智慧华山案例显示，一期就覆盖多业态景区综合票务管理、大型区域级旅游电子商务（含 B2B、B2C、OTA 管控）、中央决策管控、自助售票、游客一卡通、停车场综合管理、手机 APP 与景区协同 OA。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奉化溪口案例显示，方案可覆盖线下多个景点的电子门票系统、线上电子商务平台及中央会员管理体系。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软件层强调可构成完整的智慧景区 O2O 一体化综合管理平台。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适合山岳型景区、跨景点目的地和大型文旅集团统一建设线上线下一体化运营平台。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多业态经营与二次消费管理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把景区门票经济升级为多业态经营平台。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智慧华山二期规划公开列出安防监控、智能导游、GIS、GPS 定位、温泉及酒店管理、剧院综合管理、餐饮 POS 进销存、快速拍照管理、森林防火、员工一卡通等模块。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LOTS 相关文章强调从目的地层面整合吃、住、行、游、购、娱全业态。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案例文章指出，深大智能在多个目的地帮助平台的非门票业务营收占比提升，体现其对二次消费和本地服务整合的重视。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适合从单门票业务向酒店、温泉、餐饮、购物和本地玩乐延展的综合型文旅项目。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LOTS 目的地生态与 O2O 运营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面向旅游目的地的资源整合、平台运营与供给侧改造能力。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公开文章将 LOTS 描述为从运营、资本、技术、人才输出、标准战略等维度为目的地赋能。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深大智能公开提出过将智游宝升级为覆盖吃、住、行、游、购、娱全业态的第三方公共服务平台，并尝试区域型旅游目的地 O2O 平台。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相关项目展示中常见官网、微信公众号、官方 APP、虚拟游等游客触点，用于实现目的地级运营闭环。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适合省市级旅游目的地、文旅集团和景区联盟做区域性旅游资源整合与平台化运营。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旅游大数据平台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以票务与旅游业务数据为基础的可视化分析与精准营销平台。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大数据文章明确提到基于智游宝数据打通景区、酒店、旅行社、导游、游客、旅游企业与互联网数据。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分析维度包括游客性别、年龄、来源、人流密度等，可生成可视化、多维度分析报告与图表。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公开资料还强调可用于线路规划、安全预防、客流疏导、游客画像、精准营销、产品创新与二次消费引导。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服务对象既包括大型旅游集团，也包括旅委、旅游局等政府机构。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适合文旅集团总部、旅游局与目的地运营平台做数据驾驶舱、趋势预测与营销决策。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综合管控与物联基础设施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面向大型景区和目的地项目的中枢控制与基础设施联动。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公开资料中出现应急指挥调度中心、综合管控平台、机房、停车场、视频监控、交通卡口车流量监控、广播、森林防火、协同办公、WIFI、紧急呼叫等模块。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检票硬件方面在案例中提到二维码、二代证、指纹、头像抓拍等核验能力。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这类能力通常与景区现场设备、安防系统和指挥中心建设一起交付。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适合客流大、区域广、安全与应急要求高的山岳景区、景区群和目的地项目。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四、典型适用场景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大型山岳型景区或景区群的一体化智慧景区建设。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省市文旅集团、旅游局建设目的地级运营平台、数据平台和 LOTS 生态。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希望从门票业务升级到多业态经营、游客服务与综合管控的文旅项目。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五、选型时建议重点追问的边界问题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深大智能公开能力高度项目化，很多内容不是开箱即用的标准 SaaS，而是需要咨询、规划、实施和现场集成。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公开案例横跨多个年份，能力展示很丰富，但当前标准产品化程度、模块独立售卖方式与最新接口能力需要进一步向销售确认。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如果用户只需要标准票务/渠道 SaaS，而非景区综合数字化项目，通常更应优先评估智游宝或细分票务平台。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六、公开资料来源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深大智能旅游大数据应用：https://www.zhiyoubao.com/progress.htm?id=1287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LOTS 助力全域旅游发展：https://www.zhiyoubao.com/progress.htm?id=1277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打造 LOTS 生态助力旅游目的地迈入 3.0 时代：https://www.zhiyoubao.com/progress.htm?id=1196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智慧华山 O2O 一体化管理系统案例：https://www.zhiyoubao.com/progress.htm?id=1125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奉化溪口景区案例：https://www.zhiyoubao.com/productSuccessCaseDetail.htm?id=137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智游宝官网（深大智能公开信息承载站点）：https://www.zhiyoubao.com/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公开资料整理 | 仅基于可访问页面，不代表厂商完整标准功能包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120"/>
    </w:pPr>
    <w:rPr>
      <w:rFonts w:ascii="Noto Sans CJK SC" w:hAnsi="Noto Sans CJK SC" w:eastAsia="Noto Sans CJK SC"/>
      <w:b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Noto Sans CJK SC" w:hAnsi="Noto Sans CJK SC" w:eastAsia="Noto Sans CJK SC"/>
      <w:i w:val="0"/>
      <w:sz w:val="18"/>
    </w:rPr>
  </w:style>
  <w:style w:type="paragraph" w:customStyle="1" w:styleId="MyHeading1">
    <w:name w:val="MyHeading1"/>
    <w:basedOn w:val="Normal"/>
    <w:pPr>
      <w:spacing w:before="200" w:after="80"/>
    </w:pPr>
    <w:rPr>
      <w:rFonts w:ascii="Noto Sans CJK SC" w:hAnsi="Noto Sans CJK SC" w:eastAsia="Noto Sans CJK SC"/>
      <w:b/>
      <w:sz w:val="28"/>
    </w:rPr>
  </w:style>
  <w:style w:type="paragraph" w:customStyle="1" w:styleId="MyHeading2">
    <w:name w:val="MyHeading2"/>
    <w:basedOn w:val="Normal"/>
    <w:pPr>
      <w:spacing w:before="160" w:after="60"/>
    </w:pPr>
    <w:rPr>
      <w:rFonts w:ascii="Noto Sans CJK SC" w:hAnsi="Noto Sans CJK SC" w:eastAsia="Noto Sans CJK SC"/>
      <w:b/>
      <w:sz w:val="23"/>
    </w:rPr>
  </w:style>
  <w:style w:type="paragraph" w:customStyle="1" w:styleId="MyQuote">
    <w:name w:val="MyQuote"/>
    <w:basedOn w:val="Normal"/>
    <w:pPr>
      <w:spacing w:after="80"/>
      <w:ind w:left="283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