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rPr>
          <w:rFonts w:ascii="Noto Sans CJK SC" w:hAnsi="Noto Sans CJK SC" w:eastAsia="Noto Sans CJK SC" w:cs="Noto Sans CJK SC"/>
        </w:rPr>
        <w:t>绿云 SaaS 产品功能整理</w:t>
      </w:r>
    </w:p>
    <w:p>
      <w:pPr>
        <w:pStyle w:val="MySubtitle"/>
        <w:jc w:val="center"/>
      </w:pPr>
      <w:r>
        <w:rPr>
          <w:rFonts w:ascii="Noto Sans CJK SC" w:hAnsi="Noto Sans CJK SC" w:eastAsia="Noto Sans CJK SC" w:cs="Noto Sans CJK SC"/>
        </w:rPr>
        <w:t>按公开资料整理｜适合做选型前研究与销售访谈提纲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品牌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绿云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适用行业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酒店 / 餐饮 / 酒店集团 / 文旅住宿业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整理口径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绿云公开产品同时包含自研云产品和基于 Oracle Hospitality 的本地化解决方案。本文件以官网、官方产品页和支持页可确认的信息为主。</w:t>
            </w:r>
          </w:p>
        </w:tc>
      </w:tr>
      <w:tr>
        <w:tc>
          <w:tcPr>
            <w:tcW w:type="dxa" w:w="1701"/>
            <w:vAlign w:val="center"/>
            <w:shd w:fill="EDEDED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整理日期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2026-06-12（基于公开可访问资料）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7F7F7"/>
          </w:tcPr>
          <w:p>
            <w:r>
              <w:rPr>
                <w:rFonts w:ascii="Noto Sans CJK SC" w:hAnsi="Noto Sans CJK SC" w:eastAsia="Noto Sans CJK SC" w:cs="Noto Sans CJK SC"/>
                <w:b/>
              </w:rPr>
              <w:t>说明：</w:t>
            </w:r>
            <w:r>
              <w:rPr>
                <w:rFonts w:ascii="Noto Sans CJK SC" w:hAnsi="Noto Sans CJK SC" w:eastAsia="Noto Sans CJK SC" w:cs="Noto Sans CJK SC"/>
                <w:sz w:val="19"/>
              </w:rPr>
              <w:t>绿云公开产品同时包含自研云产品和基于 Oracle Hospitality 的本地化解决方案。本文件以官网、官方产品页和支持页可确认的信息为主。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一、快速结论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1. 官网首页将绿云定位为“大住宿业的全面信息解决方案”提供方，产品覆盖酒店住宿、餐饮运营、酒店集团管理与文旅场景。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2. 公开可确认的核心产品包括 GreenCloud PMS、Smart Stay Digital Operations Platform、iCater Smart Catering、Channel Direct Order System，以及基于 Oracle OPERA/Simphony 的行业解决方案。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3. 绿云在‘云 PMS + 餐饮 + 支付整合 + 物料控制 + 销售会奖 + 直连分销’方面的产品矩阵较完整。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二、公开产品矩阵概览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产品/板块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公开定位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主要适用场景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GreenCloud PMS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自研云 PMS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酒店前台、住宿经营、不同业态版本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Smart Stay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酒店全链路数字运营平台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多终端、多场景、全流程数字化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iCater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餐饮数字化运营系统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预订、点餐、送餐、厨房、收银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Channel Direct Order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渠道直连与直订系统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渠道订单同步、PMS 联动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Oracle 方案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OPERA/Simphony 本地化与实施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酒店物业、餐饮、客户、渠道、营销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/>
                <w:sz w:val="21"/>
              </w:rPr>
              <w:t>周边能力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支付、移动端、物控、会奖销售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UPG、Hotel Mobile、MC、Sales &amp; Catering</w:t>
            </w:r>
          </w:p>
        </w:tc>
      </w:tr>
    </w:tbl>
    <w:p>
      <w:pPr>
        <w:pStyle w:val="MyHeading1"/>
      </w:pPr>
      <w:r>
        <w:rPr>
          <w:rFonts w:ascii="Noto Sans CJK SC" w:hAnsi="Noto Sans CJK SC" w:eastAsia="Noto Sans CJK SC" w:cs="Noto Sans CJK SC"/>
        </w:rPr>
        <w:t>三、详细功能拆解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GreenCloud PMS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绿云面向住宿业的核心云 PMS。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官方检索页将其描述为行业领先的云 PMS，并提到提供 Standard、Business、Express 等版本。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公开介绍强调覆盖住宿业多种业务形态。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作为其他数字运营产品的底座，PMS 负责房态、订单、入住/离店等核心住宿业务数据。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适合单体酒店、中高端酒店、连锁酒店或多业态住宿项目作为核心经营系统。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Smart Stay Digital Operations Platform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基于 PMS 的全链路、全场景酒店数字运营平台。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官方产品页写明，该平台基于酒店 PMS，实现酒店全链路和全场景数字化。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强调连接多个终端、多个场景和全流程运营。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2025 年新闻中将其列为 iHotel Smart Hotel Solution 的核心组成之一。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适合希望把前台、客房、住中服务、营销与经营动作进一步数字化的酒店。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iCater Smart Catering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面向酒店餐饮和餐饮门店的餐饮数字化解决方案。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官方产品描述提到覆盖从预订、点餐、送餐到厨房作业、收银管理的核心流程。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Oracle Simphony 本地化支持页明确写到：可覆盖餐厅收银管理、餐位管理、点餐管理、客户管理、积分&amp;储值管理、成本管理和数字化营销管理。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同时提供电子发票、扫码点餐、移动支付、数字化厨房、排队叫号等本地化经营产品。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适合酒店餐饮、社会餐厅、宴会餐饮和需要前后厨一体化管理的项目。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Channel Direct Order System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把各类线上渠道订单与酒店 PMS 连接起来的直连/直订系统。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官网首页与产品检索均提到该系统是绿云核心产品之一。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公开描述提到可直连 OTA、商旅、批发商等平台，并与 PMS 实时同步订单。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适用于酒店自有直订与第三方渠道订单统一归集。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适合多渠道经营的酒店，需要减少超卖、手工搬单和渠道价态不一致问题。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Oracle Hospitality 解决方案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以 OPERA 和 Simphony 为核心的本地化方案、实施与集成服务。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OPERA 方案支持页写明，绿云可围绕酒店物业管理、餐饮管理、客户管理、渠道管理及数字化营销管理设计解决方案。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Simphony 方案支持页写明，除收银、点餐、客户、积分储值、成本与营销外，还提供扫码点餐、移动支付、数字化厨房等中国市场本地化产品。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说明绿云不只是做软件分发，还承担咨询、实施、产品经理与项目经理式交付。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适合国际品牌酒店、集团酒店或需要 Oracle 体系与本地化能力结合的客户。</w:t>
      </w:r>
    </w:p>
    <w:p>
      <w:pPr>
        <w:pStyle w:val="MyHeading2"/>
      </w:pPr>
      <w:r>
        <w:rPr>
          <w:rFonts w:ascii="Noto Sans CJK SC" w:hAnsi="Noto Sans CJK SC" w:eastAsia="Noto Sans CJK SC" w:cs="Noto Sans CJK SC"/>
        </w:rPr>
        <w:t>支付、移动端、物控与会奖销售</w:t>
      </w:r>
    </w:p>
    <w:p>
      <w:pPr/>
      <w:r>
        <w:rPr>
          <w:rFonts w:ascii="Noto Sans CJK SC" w:hAnsi="Noto Sans CJK SC" w:eastAsia="Noto Sans CJK SC" w:cs="Noto Sans CJK SC"/>
          <w:b/>
        </w:rPr>
        <w:t>定位：</w:t>
      </w:r>
      <w:r>
        <w:rPr>
          <w:rFonts w:ascii="Noto Sans CJK SC" w:hAnsi="Noto Sans CJK SC" w:eastAsia="Noto Sans CJK SC" w:cs="Noto Sans CJK SC"/>
          <w:sz w:val="21"/>
        </w:rPr>
        <w:t>围绕酒店经营效率延伸出的配套 SaaS 能力。</w:t>
      </w:r>
    </w:p>
    <w:p>
      <w:pPr/>
      <w:r>
        <w:rPr>
          <w:rFonts w:ascii="Noto Sans CJK SC" w:hAnsi="Noto Sans CJK SC" w:eastAsia="Noto Sans CJK SC" w:cs="Noto Sans CJK SC"/>
          <w:b/>
        </w:rPr>
        <w:t>详细功能（按公开资料可确认）：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UPG 被公开描述为支付整合产品，可连接 OPERA PMS 与 Simphony。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Hotel Mobile 产品页摘要提到可在移动端处理入住、离店与前台操作。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Materials Control 官方页详细说明了采购、库存、成本控制、自动从 POS 导入销售数据、浪费/溢出监控、多级采购授权和无纸化领料等功能。</w:t>
      </w:r>
    </w:p>
    <w:p>
      <w:pPr>
        <w:ind w:left="510" w:hanging="113"/>
      </w:pPr>
      <w:r>
        <w:rPr>
          <w:rFonts w:ascii="Noto Sans CJK SC" w:hAnsi="Noto Sans CJK SC" w:eastAsia="Noto Sans CJK SC" w:cs="Noto Sans CJK SC"/>
          <w:sz w:val="21"/>
        </w:rPr>
        <w:t>• Sales &amp; Catering 摘要提到客户与活动管理，可与 OPERA Property 集成，支持团队销售与会议会奖场景。</w:t>
      </w:r>
    </w:p>
    <w:p>
      <w:pPr/>
      <w:r>
        <w:rPr>
          <w:rFonts w:ascii="Noto Sans CJK SC" w:hAnsi="Noto Sans CJK SC" w:eastAsia="Noto Sans CJK SC" w:cs="Noto Sans CJK SC"/>
          <w:b/>
        </w:rPr>
        <w:t>典型场景：</w:t>
      </w:r>
      <w:r>
        <w:rPr>
          <w:rFonts w:ascii="Noto Sans CJK SC" w:hAnsi="Noto Sans CJK SC" w:eastAsia="Noto Sans CJK SC" w:cs="Noto Sans CJK SC"/>
          <w:sz w:val="21"/>
        </w:rPr>
        <w:t>适合需要增强支付集成、移动前台、采购成本控制或宴会会奖销售能力的酒店集团。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四、典型适用场景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单体或连锁酒店用云 PMS 打通前台、渠道、营销与支付。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酒店餐饮或大型宴会场景做预订、点餐、厨房、收银和成本一体化管理。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国际品牌或大型集团以 Oracle OPERA/Simphony 为核心，再叠加绿云本地化产品和实施服务。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五、选型时建议重点追问的边界问题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绿云的部分能力来自其自研云产品，部分能力来自 Oracle 体系上的本地化与实施，选型时要分清‘软件许可/云订阅’与‘项目实施/集成服务’。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官网公开页对 GreenCloud PMS、Smart Stay 等部分产品的字段级功能披露有限，若进入采购阶段，建议索取详细 demo 与模块清单。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21"/>
        </w:rPr>
        <w:t>• 不同产品适配的酒店规模、星级和业态差异较大，需确认单体版、集团版和文旅住宿项目版之间的边界。</w:t>
      </w:r>
    </w:p>
    <w:p>
      <w:pPr>
        <w:pStyle w:val="MyHeading1"/>
      </w:pPr>
      <w:r>
        <w:rPr>
          <w:rFonts w:ascii="Noto Sans CJK SC" w:hAnsi="Noto Sans CJK SC" w:eastAsia="Noto Sans CJK SC" w:cs="Noto Sans CJK SC"/>
        </w:rPr>
        <w:t>六、公开资料来源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绿云官网首页：https://www.greencloud.com.cn/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Smart Stay Digital Operations Platform：https://www.greencloud.com.cn/product/product.html?id=1447531940009627648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Oracle Hospitality OPERA 方案支持页：https://www.greencloud.com.cn/support/service1.html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Oracle Food&amp;Beverage / Simphony 方案支持页：https://www.greencloud.com.cn/support/service2.html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Oracle Hospitality Materials Control：https://www.greencloud.com.cn/product/materialsControl.html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餐饮解决方案：https://www.greencloud.com.cn/solution/solution.html?id=717378650295390208</w:t>
      </w:r>
    </w:p>
    <w:p>
      <w:pPr>
        <w:ind w:left="170" w:hanging="113"/>
      </w:pPr>
      <w:r>
        <w:rPr>
          <w:rFonts w:ascii="Noto Sans CJK SC" w:hAnsi="Noto Sans CJK SC" w:eastAsia="Noto Sans CJK SC" w:cs="Noto Sans CJK SC"/>
          <w:sz w:val="18"/>
        </w:rPr>
        <w:t>• iHotel Smart Stay 新闻：https://www.greencloud.com.cn/about/newsDetail.html?id=1402701582370230272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sz w:val="16"/>
      </w:rPr>
      <w:t>公开资料整理 | 仅基于可访问页面，不代表厂商完整标准功能包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pPr>
      <w:spacing w:after="120"/>
    </w:pPr>
    <w:rPr>
      <w:rFonts w:ascii="Noto Sans CJK SC" w:hAnsi="Noto Sans CJK SC" w:eastAsia="Noto Sans CJK SC"/>
      <w:b/>
      <w:sz w:val="40"/>
    </w:rPr>
  </w:style>
  <w:style w:type="paragraph" w:customStyle="1" w:styleId="MySubtitle">
    <w:name w:val="MySubtitle"/>
    <w:basedOn w:val="Normal"/>
    <w:pPr>
      <w:spacing w:after="160"/>
    </w:pPr>
    <w:rPr>
      <w:rFonts w:ascii="Noto Sans CJK SC" w:hAnsi="Noto Sans CJK SC" w:eastAsia="Noto Sans CJK SC"/>
      <w:i w:val="0"/>
      <w:sz w:val="18"/>
    </w:rPr>
  </w:style>
  <w:style w:type="paragraph" w:customStyle="1" w:styleId="MyHeading1">
    <w:name w:val="MyHeading1"/>
    <w:basedOn w:val="Normal"/>
    <w:pPr>
      <w:spacing w:before="200" w:after="80"/>
    </w:pPr>
    <w:rPr>
      <w:rFonts w:ascii="Noto Sans CJK SC" w:hAnsi="Noto Sans CJK SC" w:eastAsia="Noto Sans CJK SC"/>
      <w:b/>
      <w:sz w:val="28"/>
    </w:rPr>
  </w:style>
  <w:style w:type="paragraph" w:customStyle="1" w:styleId="MyHeading2">
    <w:name w:val="MyHeading2"/>
    <w:basedOn w:val="Normal"/>
    <w:pPr>
      <w:spacing w:before="160" w:after="60"/>
    </w:pPr>
    <w:rPr>
      <w:rFonts w:ascii="Noto Sans CJK SC" w:hAnsi="Noto Sans CJK SC" w:eastAsia="Noto Sans CJK SC"/>
      <w:b/>
      <w:sz w:val="23"/>
    </w:rPr>
  </w:style>
  <w:style w:type="paragraph" w:customStyle="1" w:styleId="MyQuote">
    <w:name w:val="MyQuote"/>
    <w:basedOn w:val="Normal"/>
    <w:pPr>
      <w:spacing w:after="80"/>
      <w:ind w:left="283"/>
    </w:pPr>
    <w:rPr>
      <w:rFonts w:ascii="Noto Sans CJK SC" w:hAnsi="Noto Sans CJK SC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