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rFonts w:ascii="Noto Sans CJK SC" w:hAnsi="Noto Sans CJK SC" w:eastAsia="Noto Sans CJK SC" w:cs="Noto Sans CJK SC"/>
        </w:rPr>
        <w:t>哗啦啦 SaaS 产品功能整理</w:t>
      </w:r>
    </w:p>
    <w:p>
      <w:pPr>
        <w:pStyle w:val="MySubtitle"/>
        <w:jc w:val="center"/>
      </w:pPr>
      <w:r>
        <w:rPr>
          <w:rFonts w:ascii="Noto Sans CJK SC" w:hAnsi="Noto Sans CJK SC" w:eastAsia="Noto Sans CJK SC" w:cs="Noto Sans CJK SC"/>
        </w:rPr>
        <w:t>按公开资料整理｜适合做选型前研究与销售访谈提纲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品牌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哗啦啦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适用行业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餐饮 / 连锁餐饮 / 餐饮集团 / 餐饮供应链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整理口径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哗啦啦官网公开到字段级的产品细节相对有限。本文件仅保留官方站点、官方生态帮助页、官方/半官方数据接入文档中能明确确认的能力，不把未核实的代理商宣传作为核心依据。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整理日期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2026-06-12（基于公开可访问资料）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7F7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说明：</w:t>
            </w:r>
            <w:r>
              <w:rPr>
                <w:rFonts w:ascii="Noto Sans CJK SC" w:hAnsi="Noto Sans CJK SC" w:eastAsia="Noto Sans CJK SC" w:cs="Noto Sans CJK SC"/>
                <w:sz w:val="19"/>
              </w:rPr>
              <w:t>哗啦啦官网公开到字段级的产品细节相对有限。本文件仅保留官方站点、官方生态帮助页、官方/半官方数据接入文档中能明确确认的能力，不把未核实的代理商宣传作为核心依据。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一、快速结论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1. 公开资料将哗啦啦的产品矩阵概括为门店经营、线上经营、供应链和大数据四大板块，面向连锁餐饮信息化提供一站式闭环解决方案。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2. 可公开确认的能力包括：商户中心的集团与店铺管理、会员营销、历史账单/报表、供应链单据与库存、开发者绑定和接口授权。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3. 从数据接口与生态连接材料看，哗啦啦的 SaaS 结构不是单一收银系统，而是以商户中心为核心的餐饮经营平台。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二、公开产品矩阵概览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产品/板块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公开定位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主要适用场景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门店经营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门店与集团经营管理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店铺管理、权限、菜品/基础档、账单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线上经营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线上门店与会员营销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线上店业务、会员营销、电子菜单等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供应链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采购、库存、盘点与单据流转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订货、出库、库存单据、盘点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大数据/报表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经营数据沉淀与账单分析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历史账单、账单详情、自定义报表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开放接入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开发者绑定与接口授权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第三方 BI、自动化平台、外部系统集成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三、详细功能拆解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门店经营 / 商户中心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哗啦啦 SaaS 的组织与门店运营中枢。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官方生态文档明确存在‘哗啦啦商户中心’这一管理后台。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数据接入说明显示，商户中心中可查看集团 ID，并存在‘开发者绑定管理’与‘授权接口’等能力。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接口清单中出现‘查询集团店铺列表’，说明平台支持集团与店铺层级管理。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商户中心使用说明材料可见子账号、权限、系统设置等入口，适合多角色协作。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适合多门店、连锁化经营的餐饮商家搭建统一后台。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线上经营与会员营销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围绕线上店、会员和券营销的经营层。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公开介绍把线上经营列为四大产品矩阵之一，并与会员营销一起出现。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接口清单中可查询会员信息、按日期查询交易信息、获取会员下优惠券列表、批量查券。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App Store 公开介绍的‘哗啦啦电子菜单’说明其在云店基础上扩展了电子菜单等线上场景。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适合需要线上点餐、会员运营、优惠券发放和交易留存分析的餐饮商家。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供应链管理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连接总部与门店的订货、库存、成本与单据管理层。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供应链被明确列为哗啦啦四大产品矩阵之一。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官方/官方生态接口清单显示，可查询成本卡自动出库记录、订货明细列表、单据列表、单据详情、库存单据明细、盘点单数据、品项分类。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从接口结构可判断其供应链至少覆盖订货、出入库、库存、盘点与品项分类等核心环节。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适合连锁餐饮做中央采购、门店库存协同与成本数据归集。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大数据与经营报表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围绕账单、历史数据与外部报表同步的分析层。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大数据被列为四大产品矩阵之一。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HiFlow / 腾讯轻联帮助页显示，哗啦啦支持获取历史账单数据并同步到第三方应用，用于制作自定义报表。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接口清单中存在‘获取历史账单数据’与‘获取账单详情’，说明账单级数据对外开放。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适合总部财务、运营与 BI 团队做门店经营分析和外部数据集成。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开放接入与第三方集成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把哗啦啦连接到外部自动化平台、BI 工具和伙伴系统的能力。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生态文档中明确需要先做集团绑定，再在商户中心进行开发者绑定管理和接口授权。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这意味着哗啦啦具备一定程度的开放平台能力，但接口授权是显式管控的。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FineReport 等数据源说明可接入会员、供应链、账单、营销等多类接口。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适合希望把哗啦啦数据接入报表工具、自动化流程或自研系统的餐饮企业。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四、典型适用场景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连锁餐饮企业以商户中心统一管理多店、权限、账单和基础资料。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总部做会员、优惠券和线上经营数据分析。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供应链团队做订货、库存、盘点和成本数据协同。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五、选型时建议重点追问的边界问题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由于官网公开页检索可见性有限，本文无法像其他品牌一样完整确认每个二级模块的字段和流程，若用于采购，必须再看演示账号。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‘收银、排队、点餐、外卖、电子菜单’等能力在公开生态资料中能看到线索，但模块深度、标准版包含范围、收费方式需要进一步确认。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哗啦啦历史上经历过经营与系统调整，正式选型时建议同步关注当前服务稳定性、财务结算机制和支持能力。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六、公开资料来源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哗啦啦官网：https://www.hualala.com/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腾讯轻联 / 哗啦啦应用介绍：https://qinglian.tencent.com/help/docs/neHRha/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HiFlow / 哗啦啦帮助中心：https://hiflow.tencent.com/docs/applications/hualala/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九数云 / 哗啦啦数据源接入说明：https://help.fanruan.com/jiushuyun/doc-view-628.html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哗啦啦商户中心 2.0 使用说明（公开翻页版）：https://online.fliphtml5.com/lpmak/fjit/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6"/>
      </w:rPr>
      <w:t>公开资料整理 | 仅基于可访问页面，不代表厂商完整标准功能包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120"/>
    </w:pPr>
    <w:rPr>
      <w:rFonts w:ascii="Noto Sans CJK SC" w:hAnsi="Noto Sans CJK SC" w:eastAsia="Noto Sans CJK SC"/>
      <w:b/>
      <w:sz w:val="40"/>
    </w:rPr>
  </w:style>
  <w:style w:type="paragraph" w:customStyle="1" w:styleId="MySubtitle">
    <w:name w:val="MySubtitle"/>
    <w:basedOn w:val="Normal"/>
    <w:pPr>
      <w:spacing w:after="160"/>
    </w:pPr>
    <w:rPr>
      <w:rFonts w:ascii="Noto Sans CJK SC" w:hAnsi="Noto Sans CJK SC" w:eastAsia="Noto Sans CJK SC"/>
      <w:i w:val="0"/>
      <w:sz w:val="18"/>
    </w:rPr>
  </w:style>
  <w:style w:type="paragraph" w:customStyle="1" w:styleId="MyHeading1">
    <w:name w:val="MyHeading1"/>
    <w:basedOn w:val="Normal"/>
    <w:pPr>
      <w:spacing w:before="200" w:after="80"/>
    </w:pPr>
    <w:rPr>
      <w:rFonts w:ascii="Noto Sans CJK SC" w:hAnsi="Noto Sans CJK SC" w:eastAsia="Noto Sans CJK SC"/>
      <w:b/>
      <w:sz w:val="28"/>
    </w:rPr>
  </w:style>
  <w:style w:type="paragraph" w:customStyle="1" w:styleId="MyHeading2">
    <w:name w:val="MyHeading2"/>
    <w:basedOn w:val="Normal"/>
    <w:pPr>
      <w:spacing w:before="160" w:after="60"/>
    </w:pPr>
    <w:rPr>
      <w:rFonts w:ascii="Noto Sans CJK SC" w:hAnsi="Noto Sans CJK SC" w:eastAsia="Noto Sans CJK SC"/>
      <w:b/>
      <w:sz w:val="23"/>
    </w:rPr>
  </w:style>
  <w:style w:type="paragraph" w:customStyle="1" w:styleId="MyQuote">
    <w:name w:val="MyQuote"/>
    <w:basedOn w:val="Normal"/>
    <w:pPr>
      <w:spacing w:after="80"/>
      <w:ind w:left="283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