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yTitle"/>
        <w:jc w:val="center"/>
      </w:pPr>
      <w:r>
        <w:rPr>
          <w:rFonts w:ascii="Noto Sans CJK SC" w:hAnsi="Noto Sans CJK SC" w:eastAsia="Noto Sans CJK SC" w:cs="Noto Sans CJK SC"/>
        </w:rPr>
        <w:t>客如云 SaaS 产品功能整理</w:t>
      </w:r>
    </w:p>
    <w:p>
      <w:pPr>
        <w:pStyle w:val="MySubtitle"/>
        <w:jc w:val="center"/>
      </w:pPr>
      <w:r>
        <w:rPr>
          <w:rFonts w:ascii="Noto Sans CJK SC" w:hAnsi="Noto Sans CJK SC" w:eastAsia="Noto Sans CJK SC" w:cs="Noto Sans CJK SC"/>
        </w:rPr>
        <w:t>按公开资料整理｜适合做选型前研究与销售访谈提纲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701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品牌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客如云</w:t>
            </w:r>
          </w:p>
        </w:tc>
      </w:tr>
      <w:tr>
        <w:tc>
          <w:tcPr>
            <w:tcW w:type="dxa" w:w="1701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适用行业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餐饮 / 连锁餐饮 / 餐饮门店 / 餐饮供应链 / 餐饮营销</w:t>
            </w:r>
          </w:p>
        </w:tc>
      </w:tr>
      <w:tr>
        <w:tc>
          <w:tcPr>
            <w:tcW w:type="dxa" w:w="1701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整理口径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本文件以客如云官网、产品页和开放平台文档可确认的信息为主，重点整理其餐饮 SaaS 能力，而非硬件参数。</w:t>
            </w:r>
          </w:p>
        </w:tc>
      </w:tr>
      <w:tr>
        <w:tc>
          <w:tcPr>
            <w:tcW w:type="dxa" w:w="1701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整理日期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2026-06-12（基于公开可访问资料）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7F7F7"/>
          </w:tcPr>
          <w:p>
            <w:r>
              <w:rPr>
                <w:rFonts w:ascii="Noto Sans CJK SC" w:hAnsi="Noto Sans CJK SC" w:eastAsia="Noto Sans CJK SC" w:cs="Noto Sans CJK SC"/>
                <w:b/>
              </w:rPr>
              <w:t>说明：</w:t>
            </w:r>
            <w:r>
              <w:rPr>
                <w:rFonts w:ascii="Noto Sans CJK SC" w:hAnsi="Noto Sans CJK SC" w:eastAsia="Noto Sans CJK SC" w:cs="Noto Sans CJK SC"/>
                <w:sz w:val="19"/>
              </w:rPr>
              <w:t>本文件以客如云官网、产品页和开放平台文档可确认的信息为主，重点整理其餐饮 SaaS 能力，而非硬件参数。</w:t>
            </w:r>
          </w:p>
        </w:tc>
      </w:tr>
    </w:tbl>
    <w:p>
      <w:pPr>
        <w:pStyle w:val="MyHeading1"/>
      </w:pPr>
      <w:r>
        <w:rPr>
          <w:rFonts w:ascii="Noto Sans CJK SC" w:hAnsi="Noto Sans CJK SC" w:eastAsia="Noto Sans CJK SC" w:cs="Noto Sans CJK SC"/>
        </w:rPr>
        <w:t>一、快速结论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1. 客如云官网将其餐饮 SaaS 能力概括为‘前厅后厨、多端导流、开放生态’，核心产品是智享版餐饮管理系统。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2. 公开产品页显示，其 SaaS 能力已覆盖开台、预订、排队、点单、收银、聚合团购/外卖/支付、后厨联动、总部连锁管理、数智营销、数智供应链和开放平台。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3. 开放平台文档进一步证明其具备订单、会员、券核销、供应链和三方小程序等连接能力。</w:t>
      </w:r>
    </w:p>
    <w:p>
      <w:pPr>
        <w:pStyle w:val="MyHeading1"/>
      </w:pPr>
      <w:r>
        <w:rPr>
          <w:rFonts w:ascii="Noto Sans CJK SC" w:hAnsi="Noto Sans CJK SC" w:eastAsia="Noto Sans CJK SC" w:cs="Noto Sans CJK SC"/>
        </w:rPr>
        <w:t>二、公开产品矩阵概览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产品/板块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公开定位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主要适用场景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智享版餐饮管理系统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门店核心经营系统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开台、预订、排队、点单、收银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前厅后厨协同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门店作业协同层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顾客点餐、后厨联动、售罄同步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多端导流与新媒体经营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引流获客与外部平台连接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抖音、美团、饿了么、团购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会员营销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公私域会员运营平台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入会、积分、发券、圈人、精准召回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数智供应链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库存与采购成本管理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库存、BOM、预测、配送、成本分析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开放平台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API 与生态对接层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订单、会员、发票、券核销、小程序</w:t>
            </w:r>
          </w:p>
        </w:tc>
      </w:tr>
    </w:tbl>
    <w:p>
      <w:pPr>
        <w:pStyle w:val="MyHeading1"/>
      </w:pPr>
      <w:r>
        <w:rPr>
          <w:rFonts w:ascii="Noto Sans CJK SC" w:hAnsi="Noto Sans CJK SC" w:eastAsia="Noto Sans CJK SC" w:cs="Noto Sans CJK SC"/>
        </w:rPr>
        <w:t>三、详细功能拆解</w:t>
      </w:r>
    </w:p>
    <w:p>
      <w:pPr>
        <w:pStyle w:val="MyHeading2"/>
      </w:pPr>
      <w:r>
        <w:rPr>
          <w:rFonts w:ascii="Noto Sans CJK SC" w:hAnsi="Noto Sans CJK SC" w:eastAsia="Noto Sans CJK SC" w:cs="Noto Sans CJK SC"/>
        </w:rPr>
        <w:t>智享版餐饮管理系统</w:t>
      </w:r>
    </w:p>
    <w:p>
      <w:pPr/>
      <w:r>
        <w:rPr>
          <w:rFonts w:ascii="Noto Sans CJK SC" w:hAnsi="Noto Sans CJK SC" w:eastAsia="Noto Sans CJK SC" w:cs="Noto Sans CJK SC"/>
          <w:b/>
        </w:rPr>
        <w:t>定位：</w:t>
      </w:r>
      <w:r>
        <w:rPr>
          <w:rFonts w:ascii="Noto Sans CJK SC" w:hAnsi="Noto Sans CJK SC" w:eastAsia="Noto Sans CJK SC" w:cs="Noto Sans CJK SC"/>
          <w:sz w:val="21"/>
        </w:rPr>
        <w:t>客如云餐饮 SaaS 的门店经营底座。</w:t>
      </w:r>
    </w:p>
    <w:p>
      <w:pPr/>
      <w:r>
        <w:rPr>
          <w:rFonts w:ascii="Noto Sans CJK SC" w:hAnsi="Noto Sans CJK SC" w:eastAsia="Noto Sans CJK SC" w:cs="Noto Sans CJK SC"/>
          <w:b/>
        </w:rPr>
        <w:t>详细功能（按公开资料可确认）：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官网首页明确写到，智享版餐饮管理系统提供从开台、预订、排队、点单、收银、供应链和会员营销等一站式餐饮管理服务。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产品页展示了服务员吧台点单、顾客平板点餐、点餐宝代客下单、顾客小程序点餐等多种点单方式。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适合堂食、外卖、自提、连锁门店等多场景经营。</w:t>
      </w:r>
    </w:p>
    <w:p>
      <w:pPr/>
      <w:r>
        <w:rPr>
          <w:rFonts w:ascii="Noto Sans CJK SC" w:hAnsi="Noto Sans CJK SC" w:eastAsia="Noto Sans CJK SC" w:cs="Noto Sans CJK SC"/>
          <w:b/>
        </w:rPr>
        <w:t>典型场景：</w:t>
      </w:r>
      <w:r>
        <w:rPr>
          <w:rFonts w:ascii="Noto Sans CJK SC" w:hAnsi="Noto Sans CJK SC" w:eastAsia="Noto Sans CJK SC" w:cs="Noto Sans CJK SC"/>
          <w:sz w:val="21"/>
        </w:rPr>
        <w:t>适合中小餐饮门店和连锁品牌作为统一的经营系统。</w:t>
      </w:r>
    </w:p>
    <w:p>
      <w:pPr>
        <w:pStyle w:val="MyHeading2"/>
      </w:pPr>
      <w:r>
        <w:rPr>
          <w:rFonts w:ascii="Noto Sans CJK SC" w:hAnsi="Noto Sans CJK SC" w:eastAsia="Noto Sans CJK SC" w:cs="Noto Sans CJK SC"/>
        </w:rPr>
        <w:t>前厅后厨协同与聚合经营</w:t>
      </w:r>
    </w:p>
    <w:p>
      <w:pPr/>
      <w:r>
        <w:rPr>
          <w:rFonts w:ascii="Noto Sans CJK SC" w:hAnsi="Noto Sans CJK SC" w:eastAsia="Noto Sans CJK SC" w:cs="Noto Sans CJK SC"/>
          <w:b/>
        </w:rPr>
        <w:t>定位：</w:t>
      </w:r>
      <w:r>
        <w:rPr>
          <w:rFonts w:ascii="Noto Sans CJK SC" w:hAnsi="Noto Sans CJK SC" w:eastAsia="Noto Sans CJK SC" w:cs="Noto Sans CJK SC"/>
          <w:sz w:val="21"/>
        </w:rPr>
        <w:t>提升门店履约效率和多渠道协同的运营层。</w:t>
      </w:r>
    </w:p>
    <w:p>
      <w:pPr/>
      <w:r>
        <w:rPr>
          <w:rFonts w:ascii="Noto Sans CJK SC" w:hAnsi="Noto Sans CJK SC" w:eastAsia="Noto Sans CJK SC" w:cs="Noto Sans CJK SC"/>
          <w:b/>
        </w:rPr>
        <w:t>详细功能（按公开资料可确认）：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产品页公开了前厅后厨联动、无纸化、智能分拣、预估售罄同步、节点时长统计等能力。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同时展示聚合团购、聚合外卖和聚合支付，说明可把多个外部平台流量统一接入门店。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适合减少错单、漏单和前后场信息断层。</w:t>
      </w:r>
    </w:p>
    <w:p>
      <w:pPr/>
      <w:r>
        <w:rPr>
          <w:rFonts w:ascii="Noto Sans CJK SC" w:hAnsi="Noto Sans CJK SC" w:eastAsia="Noto Sans CJK SC" w:cs="Noto Sans CJK SC"/>
          <w:b/>
        </w:rPr>
        <w:t>典型场景：</w:t>
      </w:r>
      <w:r>
        <w:rPr>
          <w:rFonts w:ascii="Noto Sans CJK SC" w:hAnsi="Noto Sans CJK SC" w:eastAsia="Noto Sans CJK SC" w:cs="Noto Sans CJK SC"/>
          <w:sz w:val="21"/>
        </w:rPr>
        <w:t>适合高峰时段强、出餐链路复杂、外卖与堂食并行的门店。</w:t>
      </w:r>
    </w:p>
    <w:p>
      <w:pPr>
        <w:pStyle w:val="MyHeading2"/>
      </w:pPr>
      <w:r>
        <w:rPr>
          <w:rFonts w:ascii="Noto Sans CJK SC" w:hAnsi="Noto Sans CJK SC" w:eastAsia="Noto Sans CJK SC" w:cs="Noto Sans CJK SC"/>
        </w:rPr>
        <w:t>总部连锁管理与移动化管理</w:t>
      </w:r>
    </w:p>
    <w:p>
      <w:pPr/>
      <w:r>
        <w:rPr>
          <w:rFonts w:ascii="Noto Sans CJK SC" w:hAnsi="Noto Sans CJK SC" w:eastAsia="Noto Sans CJK SC" w:cs="Noto Sans CJK SC"/>
          <w:b/>
        </w:rPr>
        <w:t>定位：</w:t>
      </w:r>
      <w:r>
        <w:rPr>
          <w:rFonts w:ascii="Noto Sans CJK SC" w:hAnsi="Noto Sans CJK SC" w:eastAsia="Noto Sans CJK SC" w:cs="Noto Sans CJK SC"/>
          <w:sz w:val="21"/>
        </w:rPr>
        <w:t>服务连锁餐饮总部和区域管理的中台能力。</w:t>
      </w:r>
    </w:p>
    <w:p>
      <w:pPr/>
      <w:r>
        <w:rPr>
          <w:rFonts w:ascii="Noto Sans CJK SC" w:hAnsi="Noto Sans CJK SC" w:eastAsia="Noto Sans CJK SC" w:cs="Noto Sans CJK SC"/>
          <w:b/>
        </w:rPr>
        <w:t>详细功能（按公开资料可确认）：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产品页提到总部可对菜谱、收银、外卖、财务等做多维度管理。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支持多层级的总部/区域/门店管理模式。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还可在移动端完成员工管理、菜单设置与分发、经营数据查看等操作。</w:t>
      </w:r>
    </w:p>
    <w:p>
      <w:pPr/>
      <w:r>
        <w:rPr>
          <w:rFonts w:ascii="Noto Sans CJK SC" w:hAnsi="Noto Sans CJK SC" w:eastAsia="Noto Sans CJK SC" w:cs="Noto Sans CJK SC"/>
          <w:b/>
        </w:rPr>
        <w:t>典型场景：</w:t>
      </w:r>
      <w:r>
        <w:rPr>
          <w:rFonts w:ascii="Noto Sans CJK SC" w:hAnsi="Noto Sans CJK SC" w:eastAsia="Noto Sans CJK SC" w:cs="Noto Sans CJK SC"/>
          <w:sz w:val="21"/>
        </w:rPr>
        <w:t>适合从单店走向连锁化、区域化经营的餐饮品牌。</w:t>
      </w:r>
    </w:p>
    <w:p>
      <w:pPr>
        <w:pStyle w:val="MyHeading2"/>
      </w:pPr>
      <w:r>
        <w:rPr>
          <w:rFonts w:ascii="Noto Sans CJK SC" w:hAnsi="Noto Sans CJK SC" w:eastAsia="Noto Sans CJK SC" w:cs="Noto Sans CJK SC"/>
        </w:rPr>
        <w:t>会员营销与数智营销</w:t>
      </w:r>
    </w:p>
    <w:p>
      <w:pPr/>
      <w:r>
        <w:rPr>
          <w:rFonts w:ascii="Noto Sans CJK SC" w:hAnsi="Noto Sans CJK SC" w:eastAsia="Noto Sans CJK SC" w:cs="Noto Sans CJK SC"/>
          <w:b/>
        </w:rPr>
        <w:t>定位：</w:t>
      </w:r>
      <w:r>
        <w:rPr>
          <w:rFonts w:ascii="Noto Sans CJK SC" w:hAnsi="Noto Sans CJK SC" w:eastAsia="Noto Sans CJK SC" w:cs="Noto Sans CJK SC"/>
          <w:sz w:val="21"/>
        </w:rPr>
        <w:t>客如云在公域获客与私域沉淀之间的营销系统。</w:t>
      </w:r>
    </w:p>
    <w:p>
      <w:pPr/>
      <w:r>
        <w:rPr>
          <w:rFonts w:ascii="Noto Sans CJK SC" w:hAnsi="Noto Sans CJK SC" w:eastAsia="Noto Sans CJK SC" w:cs="Noto Sans CJK SC"/>
          <w:b/>
        </w:rPr>
        <w:t>详细功能（按公开资料可确认）：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会员营销页面展示了微信、抖音、支付宝、高德、美团、饿了么等流量平台接入能力。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可通过小程序完成入会、点单、支付、评价、预订排队、发券召回等闭环动作。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官方强调圈人发券、精准召回、公域转私域、海量会员玩法和大数据精准运营。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官网新闻还提到‘数智化 SaaS + 新媒体营销’的融合升级。</w:t>
      </w:r>
    </w:p>
    <w:p>
      <w:pPr/>
      <w:r>
        <w:rPr>
          <w:rFonts w:ascii="Noto Sans CJK SC" w:hAnsi="Noto Sans CJK SC" w:eastAsia="Noto Sans CJK SC" w:cs="Noto Sans CJK SC"/>
          <w:b/>
        </w:rPr>
        <w:t>典型场景：</w:t>
      </w:r>
      <w:r>
        <w:rPr>
          <w:rFonts w:ascii="Noto Sans CJK SC" w:hAnsi="Noto Sans CJK SC" w:eastAsia="Noto Sans CJK SC" w:cs="Noto Sans CJK SC"/>
          <w:sz w:val="21"/>
        </w:rPr>
        <w:t>适合重视新媒体获客、会员沉淀和复购提升的连锁餐饮品牌。</w:t>
      </w:r>
    </w:p>
    <w:p>
      <w:pPr>
        <w:pStyle w:val="MyHeading2"/>
      </w:pPr>
      <w:r>
        <w:rPr>
          <w:rFonts w:ascii="Noto Sans CJK SC" w:hAnsi="Noto Sans CJK SC" w:eastAsia="Noto Sans CJK SC" w:cs="Noto Sans CJK SC"/>
        </w:rPr>
        <w:t>数智供应链</w:t>
      </w:r>
    </w:p>
    <w:p>
      <w:pPr/>
      <w:r>
        <w:rPr>
          <w:rFonts w:ascii="Noto Sans CJK SC" w:hAnsi="Noto Sans CJK SC" w:eastAsia="Noto Sans CJK SC" w:cs="Noto Sans CJK SC"/>
          <w:b/>
        </w:rPr>
        <w:t>定位：</w:t>
      </w:r>
      <w:r>
        <w:rPr>
          <w:rFonts w:ascii="Noto Sans CJK SC" w:hAnsi="Noto Sans CJK SC" w:eastAsia="Noto Sans CJK SC" w:cs="Noto Sans CJK SC"/>
          <w:sz w:val="21"/>
        </w:rPr>
        <w:t>把门店经营数据延伸到采购、库存和成本控制。</w:t>
      </w:r>
    </w:p>
    <w:p>
      <w:pPr/>
      <w:r>
        <w:rPr>
          <w:rFonts w:ascii="Noto Sans CJK SC" w:hAnsi="Noto Sans CJK SC" w:eastAsia="Noto Sans CJK SC" w:cs="Noto Sans CJK SC"/>
          <w:b/>
        </w:rPr>
        <w:t>详细功能（按公开资料可确认）：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产品页公开了库存、BOM、预测、成本核算、POS 扣减查询等能力。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还提到智能预估、配送管理、成本分析、移动化作业和开放对接。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开放平台文档与新闻稿也强调多组织、多层级业务协同、总部统一运营和供应链协同。</w:t>
      </w:r>
    </w:p>
    <w:p>
      <w:pPr/>
      <w:r>
        <w:rPr>
          <w:rFonts w:ascii="Noto Sans CJK SC" w:hAnsi="Noto Sans CJK SC" w:eastAsia="Noto Sans CJK SC" w:cs="Noto Sans CJK SC"/>
          <w:b/>
        </w:rPr>
        <w:t>典型场景：</w:t>
      </w:r>
      <w:r>
        <w:rPr>
          <w:rFonts w:ascii="Noto Sans CJK SC" w:hAnsi="Noto Sans CJK SC" w:eastAsia="Noto Sans CJK SC" w:cs="Noto Sans CJK SC"/>
          <w:sz w:val="21"/>
        </w:rPr>
        <w:t>适合连锁餐饮总部做集中采购、配送和成本管理。</w:t>
      </w:r>
    </w:p>
    <w:p>
      <w:pPr>
        <w:pStyle w:val="MyHeading2"/>
      </w:pPr>
      <w:r>
        <w:rPr>
          <w:rFonts w:ascii="Noto Sans CJK SC" w:hAnsi="Noto Sans CJK SC" w:eastAsia="Noto Sans CJK SC" w:cs="Noto Sans CJK SC"/>
        </w:rPr>
        <w:t>开放平台与生态连接</w:t>
      </w:r>
    </w:p>
    <w:p>
      <w:pPr/>
      <w:r>
        <w:rPr>
          <w:rFonts w:ascii="Noto Sans CJK SC" w:hAnsi="Noto Sans CJK SC" w:eastAsia="Noto Sans CJK SC" w:cs="Noto Sans CJK SC"/>
          <w:b/>
        </w:rPr>
        <w:t>定位：</w:t>
      </w:r>
      <w:r>
        <w:rPr>
          <w:rFonts w:ascii="Noto Sans CJK SC" w:hAnsi="Noto Sans CJK SC" w:eastAsia="Noto Sans CJK SC" w:cs="Noto Sans CJK SC"/>
          <w:sz w:val="21"/>
        </w:rPr>
        <w:t>连接第三方小程序、财务、发票、券核销等生态能力的平台层。</w:t>
      </w:r>
    </w:p>
    <w:p>
      <w:pPr/>
      <w:r>
        <w:rPr>
          <w:rFonts w:ascii="Noto Sans CJK SC" w:hAnsi="Noto Sans CJK SC" w:eastAsia="Noto Sans CJK SC" w:cs="Noto Sans CJK SC"/>
          <w:b/>
        </w:rPr>
        <w:t>详细功能（按公开资料可确认）：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开放平台首页明确写到三方 C 端小程序可与客如云收银系统和 CRM 系统联通，实现会员资产和权益管理。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开放平台文档披露了 openAPI、订单状态推送、订单创建/取消、业务介绍、三方券核销等内容。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业务介绍页还明确 ONPOS 系统覆盖点餐、收银、外卖、厨房管理、会员营销、供应链、评价服务、发票服务、排队和经营分析。</w:t>
      </w:r>
    </w:p>
    <w:p>
      <w:pPr/>
      <w:r>
        <w:rPr>
          <w:rFonts w:ascii="Noto Sans CJK SC" w:hAnsi="Noto Sans CJK SC" w:eastAsia="Noto Sans CJK SC" w:cs="Noto Sans CJK SC"/>
          <w:b/>
        </w:rPr>
        <w:t>典型场景：</w:t>
      </w:r>
      <w:r>
        <w:rPr>
          <w:rFonts w:ascii="Noto Sans CJK SC" w:hAnsi="Noto Sans CJK SC" w:eastAsia="Noto Sans CJK SC" w:cs="Noto Sans CJK SC"/>
          <w:sz w:val="21"/>
        </w:rPr>
        <w:t>适合连锁品牌做多系统集成、会员资产打通和第三方合作。</w:t>
      </w:r>
    </w:p>
    <w:p>
      <w:pPr>
        <w:pStyle w:val="MyHeading1"/>
      </w:pPr>
      <w:r>
        <w:rPr>
          <w:rFonts w:ascii="Noto Sans CJK SC" w:hAnsi="Noto Sans CJK SC" w:eastAsia="Noto Sans CJK SC" w:cs="Noto Sans CJK SC"/>
        </w:rPr>
        <w:t>四、典型适用场景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• 单店用智享版餐饮管理系统完成点单、收银、排队和后厨联动。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• 连锁总部同时做会员营销、新媒体引流和供应链协同。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• 餐饮品牌把自研小程序、第三方团购券、发票和订单系统接入客如云开放平台。</w:t>
      </w:r>
    </w:p>
    <w:p>
      <w:pPr>
        <w:pStyle w:val="MyHeading1"/>
      </w:pPr>
      <w:r>
        <w:rPr>
          <w:rFonts w:ascii="Noto Sans CJK SC" w:hAnsi="Noto Sans CJK SC" w:eastAsia="Noto Sans CJK SC" w:cs="Noto Sans CJK SC"/>
        </w:rPr>
        <w:t>五、选型时建议重点追问的边界问题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• 客如云产品矩阵较宽，从 SaaS 到代运营再到硬件都有覆盖；若用于采购，需要区分‘软件订阅’与‘代运营服务’。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• 不同餐饮业态（正餐、快餐、茶饮、烘焙、团餐）的适配深度可能不同，选型时应按业态看流程演示。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• 供应链、营销和开放平台能力较强，但对连锁企业而言，接口权限、实施周期和数据迁移方案需要进一步核实。</w:t>
      </w:r>
    </w:p>
    <w:p>
      <w:pPr>
        <w:pStyle w:val="MyHeading1"/>
      </w:pPr>
      <w:r>
        <w:rPr>
          <w:rFonts w:ascii="Noto Sans CJK SC" w:hAnsi="Noto Sans CJK SC" w:eastAsia="Noto Sans CJK SC" w:cs="Noto Sans CJK SC"/>
        </w:rPr>
        <w:t>六、公开资料来源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18"/>
        </w:rPr>
        <w:t>• 客如云官网首页：https://www.keruyun.com/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18"/>
        </w:rPr>
        <w:t>• 客如云产品页：https://www.keruyun.com/product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18"/>
        </w:rPr>
        <w:t>• 客如云会员营销页：https://www.keruyun.com/market/membership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18"/>
        </w:rPr>
        <w:t>• 客如云供应链页：https://www.keruyun.com/market/supplychain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18"/>
        </w:rPr>
        <w:t>• 客如云开放平台：https://open.keruyun.com/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18"/>
        </w:rPr>
        <w:t>• 客如云平台介绍：https://open.keruyun.com/docs/zh/i8eWEXQBzPVmqdQuAlos.html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18"/>
        </w:rPr>
        <w:t>• 客如云业务介绍（cater）：https://open.keruyun.com/docs/zh/xNAp2oIB204pO3pauPMq.html?b=cater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18"/>
        </w:rPr>
        <w:t>• 客如云 AI：https://www.keruyun.com/ai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sz w:val="16"/>
      </w:rPr>
      <w:t>公开资料整理 | 仅基于可访问页面，不代表厂商完整标准功能包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Title">
    <w:name w:val="MyTitle"/>
    <w:basedOn w:val="Normal"/>
    <w:pPr>
      <w:spacing w:after="120"/>
    </w:pPr>
    <w:rPr>
      <w:rFonts w:ascii="Noto Sans CJK SC" w:hAnsi="Noto Sans CJK SC" w:eastAsia="Noto Sans CJK SC"/>
      <w:b/>
      <w:sz w:val="40"/>
    </w:rPr>
  </w:style>
  <w:style w:type="paragraph" w:customStyle="1" w:styleId="MySubtitle">
    <w:name w:val="MySubtitle"/>
    <w:basedOn w:val="Normal"/>
    <w:pPr>
      <w:spacing w:after="160"/>
    </w:pPr>
    <w:rPr>
      <w:rFonts w:ascii="Noto Sans CJK SC" w:hAnsi="Noto Sans CJK SC" w:eastAsia="Noto Sans CJK SC"/>
      <w:i w:val="0"/>
      <w:sz w:val="18"/>
    </w:rPr>
  </w:style>
  <w:style w:type="paragraph" w:customStyle="1" w:styleId="MyHeading1">
    <w:name w:val="MyHeading1"/>
    <w:basedOn w:val="Normal"/>
    <w:pPr>
      <w:spacing w:before="200" w:after="80"/>
    </w:pPr>
    <w:rPr>
      <w:rFonts w:ascii="Noto Sans CJK SC" w:hAnsi="Noto Sans CJK SC" w:eastAsia="Noto Sans CJK SC"/>
      <w:b/>
      <w:sz w:val="28"/>
    </w:rPr>
  </w:style>
  <w:style w:type="paragraph" w:customStyle="1" w:styleId="MyHeading2">
    <w:name w:val="MyHeading2"/>
    <w:basedOn w:val="Normal"/>
    <w:pPr>
      <w:spacing w:before="160" w:after="60"/>
    </w:pPr>
    <w:rPr>
      <w:rFonts w:ascii="Noto Sans CJK SC" w:hAnsi="Noto Sans CJK SC" w:eastAsia="Noto Sans CJK SC"/>
      <w:b/>
      <w:sz w:val="23"/>
    </w:rPr>
  </w:style>
  <w:style w:type="paragraph" w:customStyle="1" w:styleId="MyQuote">
    <w:name w:val="MyQuote"/>
    <w:basedOn w:val="Normal"/>
    <w:pPr>
      <w:spacing w:after="80"/>
      <w:ind w:left="283"/>
    </w:pPr>
    <w:rPr>
      <w:rFonts w:ascii="Noto Sans CJK SC" w:hAnsi="Noto Sans CJK SC" w:eastAsia="Noto Sans CJK S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