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C84BC">
      <w:pPr>
        <w:rPr>
          <w:rFonts w:hint="eastAsia"/>
          <w:b/>
        </w:rPr>
      </w:pPr>
    </w:p>
    <w:p w14:paraId="54D3A52D">
      <w:pPr>
        <w:jc w:val="center"/>
        <w:rPr>
          <w:rFonts w:hint="eastAsia"/>
        </w:rPr>
      </w:pPr>
      <w:r>
        <w:drawing>
          <wp:inline distT="0" distB="0" distL="114300" distR="114300">
            <wp:extent cx="4104005" cy="991870"/>
            <wp:effectExtent l="0" t="0" r="1079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8E02">
      <w:pPr>
        <w:jc w:val="center"/>
        <w:rPr>
          <w:rFonts w:hint="eastAsia" w:ascii="黑体" w:hAnsi="黑体" w:eastAsia="黑体"/>
          <w:b/>
          <w:spacing w:val="20"/>
          <w:sz w:val="72"/>
          <w:szCs w:val="72"/>
        </w:rPr>
      </w:pPr>
      <w:r>
        <w:rPr>
          <w:rFonts w:hint="eastAsia" w:ascii="黑体" w:hAnsi="黑体" w:eastAsia="黑体"/>
          <w:b/>
          <w:spacing w:val="20"/>
          <w:sz w:val="72"/>
          <w:szCs w:val="72"/>
        </w:rPr>
        <w:t>学生实验报告册</w:t>
      </w:r>
    </w:p>
    <w:p w14:paraId="1C98BC1F">
      <w:pPr>
        <w:autoSpaceDE w:val="0"/>
        <w:autoSpaceDN w:val="0"/>
        <w:adjustRightInd w:val="0"/>
        <w:snapToGrid w:val="0"/>
        <w:spacing w:line="240" w:lineRule="atLeast"/>
        <w:rPr>
          <w:rFonts w:hint="eastAsia" w:eastAsia="黑体" w:cs="黑体"/>
          <w:spacing w:val="59"/>
          <w:kern w:val="0"/>
          <w:sz w:val="40"/>
          <w:szCs w:val="40"/>
        </w:rPr>
      </w:pPr>
    </w:p>
    <w:p w14:paraId="549BF21E">
      <w:pPr>
        <w:autoSpaceDE w:val="0"/>
        <w:autoSpaceDN w:val="0"/>
        <w:adjustRightInd w:val="0"/>
        <w:snapToGrid w:val="0"/>
        <w:spacing w:line="240" w:lineRule="atLeast"/>
        <w:rPr>
          <w:rFonts w:hint="eastAsia" w:eastAsia="黑体" w:cs="黑体"/>
          <w:spacing w:val="59"/>
          <w:kern w:val="0"/>
          <w:sz w:val="40"/>
          <w:szCs w:val="40"/>
        </w:rPr>
      </w:pP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4318"/>
      </w:tblGrid>
      <w:tr w14:paraId="3C55A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6A7046D3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 w14:paraId="7EAF73C3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ascii="黑体" w:hAnsi="黑体" w:eastAsia="黑体" w:cs="黑体"/>
                <w:kern w:val="0"/>
                <w:szCs w:val="28"/>
              </w:rPr>
              <w:t>2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5 -</w:t>
            </w:r>
            <w:r>
              <w:rPr>
                <w:rFonts w:ascii="黑体" w:hAnsi="黑体" w:eastAsia="黑体" w:cs="黑体"/>
                <w:kern w:val="0"/>
                <w:szCs w:val="28"/>
              </w:rPr>
              <w:t xml:space="preserve">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ascii="黑体" w:hAnsi="黑体" w:eastAsia="黑体" w:cs="黑体"/>
                <w:kern w:val="0"/>
                <w:szCs w:val="28"/>
              </w:rPr>
              <w:t>2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6学年 ■春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F06F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秋学期</w:t>
            </w:r>
          </w:p>
        </w:tc>
      </w:tr>
      <w:tr w14:paraId="103F6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5D60B016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 w14:paraId="24C4ABE6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工业人工智能（B）</w:t>
            </w:r>
          </w:p>
        </w:tc>
      </w:tr>
      <w:tr w14:paraId="7DFEE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7E668326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    院</w:t>
            </w:r>
            <w:r>
              <w:rPr>
                <w:rFonts w:ascii="黑体" w:hAnsi="黑体" w:eastAsia="黑体" w:cs="黑体"/>
                <w:kern w:val="0"/>
                <w:szCs w:val="28"/>
              </w:rPr>
              <w:t>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 w14:paraId="3738542A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自动化学院/工业互联网学院</w:t>
            </w:r>
          </w:p>
        </w:tc>
      </w:tr>
      <w:tr w14:paraId="18B1E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14514E86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专业</w:t>
            </w:r>
            <w:r>
              <w:rPr>
                <w:rFonts w:ascii="黑体" w:hAnsi="黑体" w:eastAsia="黑体" w:cs="黑体"/>
                <w:kern w:val="0"/>
                <w:szCs w:val="28"/>
              </w:rPr>
              <w:t>班级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5CF062C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08712301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</w:t>
            </w:r>
          </w:p>
        </w:tc>
      </w:tr>
      <w:tr w14:paraId="54F44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3FD53DCE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姓    名：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2CF2312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kern w:val="0"/>
                <w:szCs w:val="28"/>
              </w:rPr>
              <w:t xml:space="preserve"> 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张唐嘉乐</w:t>
            </w:r>
          </w:p>
        </w:tc>
      </w:tr>
      <w:tr w14:paraId="046D6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5225AFEC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    号：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202BEEE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2023213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466</w:t>
            </w:r>
          </w:p>
        </w:tc>
      </w:tr>
      <w:tr w14:paraId="18896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1BC77FA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指导教师：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C8B0DE2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吴超</w:t>
            </w:r>
          </w:p>
        </w:tc>
      </w:tr>
      <w:tr w14:paraId="0A3F5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 w14:paraId="677B6AD7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成    绩：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025152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</w:rPr>
            </w:pPr>
          </w:p>
        </w:tc>
      </w:tr>
    </w:tbl>
    <w:p w14:paraId="7D1B034B"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 w14:paraId="32438120"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000000"/>
          <w:sz w:val="32"/>
          <w:szCs w:val="32"/>
        </w:rPr>
        <w:t>重庆邮电大学教务处制</w:t>
      </w:r>
    </w:p>
    <w:p w14:paraId="09B1A091">
      <w:pPr>
        <w:pStyle w:val="3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一、引言</w:t>
      </w:r>
    </w:p>
    <w:p w14:paraId="6D6325D6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卷积神经网络（CNN）自LeNet-5[1]提出以来，已成为图像分类任务的基础模型。其核心思想是通过卷积核在图像上滑动提取局部特征，逐层组合为高层语义表示，最后经全连接层输出分类概率。本实验不采用常见的MNIST或CIFAR-10等公开数据集，而是用程序直接生成几何形状图片：圆形和方形。选择自行生成数据的原因有三：一是避免因网络条件限制无法下载大型数据集；二是可以精确控制数据的各项参数（噪声、位移、旋转等），便于进行消融分析；三是任务难度可控，能够保证模型收敛，从而将实验重心放在理解CNN的工作原理上。</w:t>
      </w:r>
    </w:p>
    <w:p w14:paraId="26ED4EEE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实验的核心目标是验证CNN对几何形状轮廓特征的提取能力。圆形和方形的区分依据主要在于边缘的曲率特征——圆的曲率恒定，方形的曲率集中在四个角点。这个任务在理论上对CNN是友好的，因为卷积核天然适合检测边缘和角点。本报告将记录实现过程、模型结构选择理由、实验结果及存在的不足。</w:t>
      </w:r>
    </w:p>
    <w:p w14:paraId="688BDF3A">
      <w:pPr>
        <w:pStyle w:val="3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二、实现方案</w:t>
      </w:r>
    </w:p>
    <w:p w14:paraId="10B25180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2.1 整体技术路线</w:t>
      </w:r>
    </w:p>
    <w:p w14:paraId="02951315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本实验基于PyTorch框架实现。选择PyTorch而非TensorFlow的原因是PyTorch的动态计算图机制更便于调试，且社区文档对新用户更友好。实验流程为：数据生成 → 模型构建 → 训练与验证 → 评估与可视化。所有代码以模块化方式组织：model.py负责模型定义，utils.py负责数据生成与可视化，train.py负责训练流程。</w:t>
      </w:r>
    </w:p>
    <w:p w14:paraId="26A4014E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2.2 数据生成方案</w:t>
      </w:r>
    </w:p>
    <w:p w14:paraId="0FEFD74F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数据集完全由numpy和Python标准库生成，无需网络连接。核心参数如下表：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7277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48C4251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参数</w:t>
            </w:r>
          </w:p>
        </w:tc>
        <w:tc>
          <w:tcPr>
            <w:tcW w:w="3079" w:type="dxa"/>
          </w:tcPr>
          <w:p w14:paraId="18980E6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取值</w:t>
            </w:r>
          </w:p>
        </w:tc>
        <w:tc>
          <w:tcPr>
            <w:tcW w:w="3079" w:type="dxa"/>
          </w:tcPr>
          <w:p w14:paraId="21A5285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说明</w:t>
            </w:r>
          </w:p>
        </w:tc>
      </w:tr>
      <w:tr w14:paraId="5EDD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6227C36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图像尺寸</w:t>
            </w:r>
          </w:p>
        </w:tc>
        <w:tc>
          <w:tcPr>
            <w:tcW w:w="3079" w:type="dxa"/>
          </w:tcPr>
          <w:p w14:paraId="5A07565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28×28</w:t>
            </w:r>
          </w:p>
        </w:tc>
        <w:tc>
          <w:tcPr>
            <w:tcW w:w="3079" w:type="dxa"/>
          </w:tcPr>
          <w:p w14:paraId="68A5E5F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与经典MNIST保持一致，便于参照</w:t>
            </w:r>
          </w:p>
        </w:tc>
      </w:tr>
      <w:tr w14:paraId="108A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15105B1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通道数</w:t>
            </w:r>
          </w:p>
        </w:tc>
        <w:tc>
          <w:tcPr>
            <w:tcW w:w="3079" w:type="dxa"/>
          </w:tcPr>
          <w:p w14:paraId="2EC3BB0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1（灰度）</w:t>
            </w:r>
          </w:p>
        </w:tc>
        <w:tc>
          <w:tcPr>
            <w:tcW w:w="3079" w:type="dxa"/>
          </w:tcPr>
          <w:p w14:paraId="3272B5F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简化输入，降低计算量</w:t>
            </w:r>
          </w:p>
        </w:tc>
      </w:tr>
      <w:tr w14:paraId="24AE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0966B69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训练样本数</w:t>
            </w:r>
          </w:p>
        </w:tc>
        <w:tc>
          <w:tcPr>
            <w:tcW w:w="3079" w:type="dxa"/>
          </w:tcPr>
          <w:p w14:paraId="21C710E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5000</w:t>
            </w:r>
          </w:p>
        </w:tc>
        <w:tc>
          <w:tcPr>
            <w:tcW w:w="3079" w:type="dxa"/>
          </w:tcPr>
          <w:p w14:paraId="41A4AB6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圆形2500 + 方形2500，保证类别均衡</w:t>
            </w:r>
          </w:p>
        </w:tc>
      </w:tr>
      <w:tr w14:paraId="1E1B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751DAB1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验证样本数</w:t>
            </w:r>
          </w:p>
        </w:tc>
        <w:tc>
          <w:tcPr>
            <w:tcW w:w="3079" w:type="dxa"/>
          </w:tcPr>
          <w:p w14:paraId="337BCDF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1000</w:t>
            </w:r>
          </w:p>
        </w:tc>
        <w:tc>
          <w:tcPr>
            <w:tcW w:w="3079" w:type="dxa"/>
          </w:tcPr>
          <w:p w14:paraId="42E741BD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不参与训练，用于评估泛化能力</w:t>
            </w:r>
          </w:p>
        </w:tc>
      </w:tr>
      <w:tr w14:paraId="7C26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60CACDB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噪声类型</w:t>
            </w:r>
          </w:p>
        </w:tc>
        <w:tc>
          <w:tcPr>
            <w:tcW w:w="3079" w:type="dxa"/>
          </w:tcPr>
          <w:p w14:paraId="131B0AA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高斯噪声 σ=0.25</w:t>
            </w:r>
          </w:p>
        </w:tc>
        <w:tc>
          <w:tcPr>
            <w:tcW w:w="3079" w:type="dxa"/>
          </w:tcPr>
          <w:p w14:paraId="49C2260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模拟实际拍摄中的随机干扰</w:t>
            </w:r>
          </w:p>
        </w:tc>
      </w:tr>
      <w:tr w14:paraId="6567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3525686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形状位置</w:t>
            </w:r>
          </w:p>
        </w:tc>
        <w:tc>
          <w:tcPr>
            <w:tcW w:w="3079" w:type="dxa"/>
          </w:tcPr>
          <w:p w14:paraId="4A4A496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中心随机偏移</w:t>
            </w:r>
          </w:p>
        </w:tc>
        <w:tc>
          <w:tcPr>
            <w:tcW w:w="3079" w:type="dxa"/>
          </w:tcPr>
          <w:p w14:paraId="4C62999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x, y ∈ [7, 21]，避免形状贴边</w:t>
            </w:r>
          </w:p>
        </w:tc>
      </w:tr>
      <w:tr w14:paraId="7D40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454BC45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形状尺寸</w:t>
            </w:r>
          </w:p>
        </w:tc>
        <w:tc>
          <w:tcPr>
            <w:tcW w:w="3079" w:type="dxa"/>
          </w:tcPr>
          <w:p w14:paraId="76B1BBC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随机缩放</w:t>
            </w:r>
          </w:p>
        </w:tc>
        <w:tc>
          <w:tcPr>
            <w:tcW w:w="3079" w:type="dxa"/>
          </w:tcPr>
          <w:p w14:paraId="208DB41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半径/边长 ∈ [3.4, 9.0] 像素</w:t>
            </w:r>
          </w:p>
        </w:tc>
      </w:tr>
      <w:tr w14:paraId="5B76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18A946A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方形旋转</w:t>
            </w:r>
          </w:p>
        </w:tc>
        <w:tc>
          <w:tcPr>
            <w:tcW w:w="3079" w:type="dxa"/>
          </w:tcPr>
          <w:p w14:paraId="7E723A9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随机 0°~45°</w:t>
            </w:r>
          </w:p>
        </w:tc>
        <w:tc>
          <w:tcPr>
            <w:tcW w:w="3079" w:type="dxa"/>
          </w:tcPr>
          <w:p w14:paraId="65C1B50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增加方形样本多样性</w:t>
            </w:r>
          </w:p>
        </w:tc>
      </w:tr>
    </w:tbl>
    <w:p w14:paraId="4FCA56B3">
      <w:pPr>
        <w:rPr>
          <w:color w:val="auto"/>
        </w:rPr>
      </w:pPr>
    </w:p>
    <w:p w14:paraId="74EB03D3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生成圆形的算法：对于每个像素点计算其到圆心的欧氏距离d，若|d - r| &lt; thickness则赋值为亮度值，边缘处做线性衰减以避免锯齿。生成方形的算法：对像素坐标做随机角度的旋转变换后，在旋转坐标系下判断是否位于矩形区域内，边缘同样做渐变处理。两种形状的亮度值在0.6~1.0之间随机采样，防止模型仅靠亮度做判断。最后叠加均值为0、标准差为0.25的高斯噪声。</w:t>
      </w:r>
    </w:p>
    <w:p w14:paraId="42909669">
      <w:pPr>
        <w:spacing w:after="16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0"/>
        </w:rPr>
        <w:drawing>
          <wp:inline distT="0" distB="0" distL="114300" distR="114300">
            <wp:extent cx="5864860" cy="2630170"/>
            <wp:effectExtent l="0" t="0" r="2540" b="6350"/>
            <wp:docPr id="1" name="图片 1" descr="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ampl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color w:val="auto"/>
          <w:sz w:val="20"/>
        </w:rPr>
        <w:t>图1 生成数据样本（上排: 圆形, 下排: 方形）</w:t>
      </w:r>
    </w:p>
    <w:p w14:paraId="4155E41B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图1展示了16个随机生成的训练样本。可以看到，噪声水平为0.25时，部分样本的轮廓已经比较模糊，这对CNN的特征提取能力构成一定挑战。但圆形与方形的整体形态差异仍然可辨。</w:t>
      </w:r>
    </w:p>
    <w:p w14:paraId="716B2028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2.3 模型结构设计</w:t>
      </w:r>
    </w:p>
    <w:p w14:paraId="5E4542C3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模型结构的设计遵循从简单到有效的原则。最初尝试了2层卷积的结构：Conv(1→8) → Pool → Conv(8→16) → Pool → FC(16×7×7 → 2)。该模型参数量仅约6,000个，在噪声为0时的准确率可达99%以上，但当噪声增加到0.25时准确率降至约85%，表现不稳定。</w:t>
      </w:r>
    </w:p>
    <w:p w14:paraId="7D55C1F6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分析原因：卷积核数量过少导致特征提取不充分，在高噪声条件下无法可靠地区分形状。因此将通道数提升至{16, 32, 64}，并引入Batch Normalization（BN）层和Dropout。BN层的作用是稳定每层输入的分布，缓解内部协变量偏移（Internal Covariate Shift），加速收敛。Dropout在训练时随机屏蔽40%的神经元，等效于集成多个子网络，用于抑制过拟合。最终模型结构如下：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943"/>
      </w:tblGrid>
      <w:tr w14:paraId="1CD1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47" w:type="dxa"/>
          </w:tcPr>
          <w:p w14:paraId="57812163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层</w:t>
            </w:r>
          </w:p>
        </w:tc>
        <w:tc>
          <w:tcPr>
            <w:tcW w:w="1847" w:type="dxa"/>
          </w:tcPr>
          <w:p w14:paraId="08BF49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操作</w:t>
            </w:r>
          </w:p>
        </w:tc>
        <w:tc>
          <w:tcPr>
            <w:tcW w:w="1847" w:type="dxa"/>
          </w:tcPr>
          <w:p w14:paraId="20B1EB68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输出尺寸</w:t>
            </w:r>
          </w:p>
        </w:tc>
        <w:tc>
          <w:tcPr>
            <w:tcW w:w="1847" w:type="dxa"/>
          </w:tcPr>
          <w:p w14:paraId="5290863E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参数量</w:t>
            </w:r>
          </w:p>
        </w:tc>
        <w:tc>
          <w:tcPr>
            <w:tcW w:w="1847" w:type="dxa"/>
          </w:tcPr>
          <w:p w14:paraId="4DAE99D4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备注</w:t>
            </w:r>
          </w:p>
        </w:tc>
      </w:tr>
      <w:tr w14:paraId="536E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48FE07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Conv1</w:t>
            </w:r>
          </w:p>
        </w:tc>
        <w:tc>
          <w:tcPr>
            <w:tcW w:w="1847" w:type="dxa"/>
          </w:tcPr>
          <w:p w14:paraId="78ECACA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1→16, k=3, p=1</w:t>
            </w:r>
          </w:p>
        </w:tc>
        <w:tc>
          <w:tcPr>
            <w:tcW w:w="1847" w:type="dxa"/>
          </w:tcPr>
          <w:p w14:paraId="7ABD8E5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16×28×28</w:t>
            </w:r>
          </w:p>
        </w:tc>
        <w:tc>
          <w:tcPr>
            <w:tcW w:w="1847" w:type="dxa"/>
          </w:tcPr>
          <w:p w14:paraId="2E58F50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160</w:t>
            </w:r>
          </w:p>
        </w:tc>
        <w:tc>
          <w:tcPr>
            <w:tcW w:w="1847" w:type="dxa"/>
          </w:tcPr>
          <w:p w14:paraId="20D95EA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</w:p>
        </w:tc>
      </w:tr>
      <w:tr w14:paraId="570C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399291E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BN1 + ReLU + Pool</w:t>
            </w:r>
          </w:p>
        </w:tc>
        <w:tc>
          <w:tcPr>
            <w:tcW w:w="1847" w:type="dxa"/>
          </w:tcPr>
          <w:p w14:paraId="1A2FB44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MaxPool 2×2</w:t>
            </w:r>
          </w:p>
        </w:tc>
        <w:tc>
          <w:tcPr>
            <w:tcW w:w="1847" w:type="dxa"/>
          </w:tcPr>
          <w:p w14:paraId="7F0A874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16×14×14</w:t>
            </w:r>
          </w:p>
        </w:tc>
        <w:tc>
          <w:tcPr>
            <w:tcW w:w="1847" w:type="dxa"/>
          </w:tcPr>
          <w:p w14:paraId="2F702E5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32</w:t>
            </w:r>
          </w:p>
        </w:tc>
        <w:tc>
          <w:tcPr>
            <w:tcW w:w="1847" w:type="dxa"/>
          </w:tcPr>
          <w:p w14:paraId="4FE4C73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BN: 16×2个参数</w:t>
            </w:r>
          </w:p>
        </w:tc>
      </w:tr>
      <w:tr w14:paraId="7212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5CC093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Conv2</w:t>
            </w:r>
          </w:p>
        </w:tc>
        <w:tc>
          <w:tcPr>
            <w:tcW w:w="1847" w:type="dxa"/>
          </w:tcPr>
          <w:p w14:paraId="5A913F8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16→32, k=3, p=1</w:t>
            </w:r>
          </w:p>
        </w:tc>
        <w:tc>
          <w:tcPr>
            <w:tcW w:w="1847" w:type="dxa"/>
          </w:tcPr>
          <w:p w14:paraId="6BFD8DE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32×14×14</w:t>
            </w:r>
          </w:p>
        </w:tc>
        <w:tc>
          <w:tcPr>
            <w:tcW w:w="1847" w:type="dxa"/>
          </w:tcPr>
          <w:p w14:paraId="307586E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4,640</w:t>
            </w:r>
          </w:p>
        </w:tc>
        <w:tc>
          <w:tcPr>
            <w:tcW w:w="1847" w:type="dxa"/>
          </w:tcPr>
          <w:p w14:paraId="0C0878B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</w:p>
        </w:tc>
      </w:tr>
      <w:tr w14:paraId="54F8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168C79A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BN2 + ReLU + Pool</w:t>
            </w:r>
          </w:p>
        </w:tc>
        <w:tc>
          <w:tcPr>
            <w:tcW w:w="1847" w:type="dxa"/>
          </w:tcPr>
          <w:p w14:paraId="570DD20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MaxPool 2×2</w:t>
            </w:r>
          </w:p>
        </w:tc>
        <w:tc>
          <w:tcPr>
            <w:tcW w:w="1847" w:type="dxa"/>
          </w:tcPr>
          <w:p w14:paraId="3A12966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32×7×7</w:t>
            </w:r>
          </w:p>
        </w:tc>
        <w:tc>
          <w:tcPr>
            <w:tcW w:w="1847" w:type="dxa"/>
          </w:tcPr>
          <w:p w14:paraId="4942C31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64</w:t>
            </w:r>
          </w:p>
        </w:tc>
        <w:tc>
          <w:tcPr>
            <w:tcW w:w="1847" w:type="dxa"/>
          </w:tcPr>
          <w:p w14:paraId="4EC9D7C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</w:p>
        </w:tc>
      </w:tr>
      <w:tr w14:paraId="10A3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893EDF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Conv3</w:t>
            </w:r>
          </w:p>
        </w:tc>
        <w:tc>
          <w:tcPr>
            <w:tcW w:w="1847" w:type="dxa"/>
          </w:tcPr>
          <w:p w14:paraId="76A4C9D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32→64, k=3, p=0</w:t>
            </w:r>
          </w:p>
        </w:tc>
        <w:tc>
          <w:tcPr>
            <w:tcW w:w="1847" w:type="dxa"/>
          </w:tcPr>
          <w:p w14:paraId="472BA11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64×5×5</w:t>
            </w:r>
          </w:p>
        </w:tc>
        <w:tc>
          <w:tcPr>
            <w:tcW w:w="1847" w:type="dxa"/>
          </w:tcPr>
          <w:p w14:paraId="2478098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18,496</w:t>
            </w:r>
          </w:p>
        </w:tc>
        <w:tc>
          <w:tcPr>
            <w:tcW w:w="1847" w:type="dxa"/>
          </w:tcPr>
          <w:p w14:paraId="13E382B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k=3, p=0时7→5</w:t>
            </w:r>
          </w:p>
        </w:tc>
      </w:tr>
      <w:tr w14:paraId="594E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24CDE50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BN3 + ReLU + Pool</w:t>
            </w:r>
          </w:p>
        </w:tc>
        <w:tc>
          <w:tcPr>
            <w:tcW w:w="1847" w:type="dxa"/>
          </w:tcPr>
          <w:p w14:paraId="452330A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MaxPool 2×2</w:t>
            </w:r>
          </w:p>
        </w:tc>
        <w:tc>
          <w:tcPr>
            <w:tcW w:w="1847" w:type="dxa"/>
          </w:tcPr>
          <w:p w14:paraId="2D493B9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64×2×2</w:t>
            </w:r>
          </w:p>
        </w:tc>
        <w:tc>
          <w:tcPr>
            <w:tcW w:w="1847" w:type="dxa"/>
          </w:tcPr>
          <w:p w14:paraId="10DAFC0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128</w:t>
            </w:r>
          </w:p>
        </w:tc>
        <w:tc>
          <w:tcPr>
            <w:tcW w:w="1847" w:type="dxa"/>
          </w:tcPr>
          <w:p w14:paraId="3C5153B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</w:p>
        </w:tc>
      </w:tr>
      <w:tr w14:paraId="24CE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24FCCEB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Flatten</w:t>
            </w:r>
          </w:p>
        </w:tc>
        <w:tc>
          <w:tcPr>
            <w:tcW w:w="1847" w:type="dxa"/>
          </w:tcPr>
          <w:p w14:paraId="2C54FA1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向量化</w:t>
            </w:r>
          </w:p>
        </w:tc>
        <w:tc>
          <w:tcPr>
            <w:tcW w:w="1847" w:type="dxa"/>
          </w:tcPr>
          <w:p w14:paraId="00DC0D4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256</w:t>
            </w:r>
          </w:p>
        </w:tc>
        <w:tc>
          <w:tcPr>
            <w:tcW w:w="1847" w:type="dxa"/>
          </w:tcPr>
          <w:p w14:paraId="134A7D5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</w:t>
            </w:r>
          </w:p>
        </w:tc>
        <w:tc>
          <w:tcPr>
            <w:tcW w:w="1847" w:type="dxa"/>
          </w:tcPr>
          <w:p w14:paraId="1078334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64×2×2=256</w:t>
            </w:r>
          </w:p>
        </w:tc>
      </w:tr>
      <w:tr w14:paraId="5ADE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17603A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FC1 + ReLU + Dropout</w:t>
            </w:r>
          </w:p>
        </w:tc>
        <w:tc>
          <w:tcPr>
            <w:tcW w:w="1847" w:type="dxa"/>
          </w:tcPr>
          <w:p w14:paraId="69CCC14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256→128, p=0.4</w:t>
            </w:r>
          </w:p>
        </w:tc>
        <w:tc>
          <w:tcPr>
            <w:tcW w:w="1847" w:type="dxa"/>
          </w:tcPr>
          <w:p w14:paraId="00967F2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128</w:t>
            </w:r>
          </w:p>
        </w:tc>
        <w:tc>
          <w:tcPr>
            <w:tcW w:w="1847" w:type="dxa"/>
          </w:tcPr>
          <w:p w14:paraId="78DC183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32,896</w:t>
            </w:r>
          </w:p>
        </w:tc>
        <w:tc>
          <w:tcPr>
            <w:tcW w:w="1847" w:type="dxa"/>
          </w:tcPr>
          <w:p w14:paraId="15EA560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含bias 128</w:t>
            </w:r>
          </w:p>
        </w:tc>
      </w:tr>
      <w:tr w14:paraId="154C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38BA685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FC2</w:t>
            </w:r>
          </w:p>
        </w:tc>
        <w:tc>
          <w:tcPr>
            <w:tcW w:w="1847" w:type="dxa"/>
          </w:tcPr>
          <w:p w14:paraId="14E2A1E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128→2</w:t>
            </w:r>
          </w:p>
        </w:tc>
        <w:tc>
          <w:tcPr>
            <w:tcW w:w="1847" w:type="dxa"/>
          </w:tcPr>
          <w:p w14:paraId="013B39C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2</w:t>
            </w:r>
          </w:p>
        </w:tc>
        <w:tc>
          <w:tcPr>
            <w:tcW w:w="1847" w:type="dxa"/>
          </w:tcPr>
          <w:p w14:paraId="104A01C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258</w:t>
            </w:r>
          </w:p>
        </w:tc>
        <w:tc>
          <w:tcPr>
            <w:tcW w:w="1847" w:type="dxa"/>
          </w:tcPr>
          <w:p w14:paraId="1C97FB4D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含bias 2</w:t>
            </w:r>
          </w:p>
        </w:tc>
      </w:tr>
    </w:tbl>
    <w:p w14:paraId="03D7BB31">
      <w:pPr>
        <w:rPr>
          <w:color w:val="auto"/>
        </w:rPr>
      </w:pPr>
    </w:p>
    <w:p w14:paraId="55A8621F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模型总参数量为56,674个，全部参与训练（无冻结层）。</w:t>
      </w:r>
    </w:p>
    <w:p w14:paraId="3CFA7CAB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关于第三个卷积层使用padding=0的设计：输入尺寸为7×7，卷积核3×3，padding=0时输出为5×5，再经2×2池化得到2×2。如果使用padding=1维持7×7，池化后将得到3×3（向下取整），后续全连接层输入变为64×3×3=576。两种方案的参数量和效果差异不大，选择padding=0的方案仅是为了验证不padding时CNN仍能正常工作。</w:t>
      </w:r>
    </w:p>
    <w:p w14:paraId="014090D7">
      <w:pPr>
        <w:pStyle w:val="3"/>
        <w:rPr>
          <w:rFonts w:ascii="Times New Roman" w:hAnsi="Times New Roman" w:eastAsia="黑体"/>
          <w:b/>
          <w:color w:val="auto"/>
          <w:sz w:val="32"/>
        </w:rPr>
      </w:pPr>
    </w:p>
    <w:p w14:paraId="52184A6B">
      <w:pPr>
        <w:pStyle w:val="3"/>
        <w:rPr>
          <w:rFonts w:ascii="Times New Roman" w:hAnsi="Times New Roman" w:eastAsia="黑体"/>
          <w:b/>
          <w:color w:val="auto"/>
          <w:sz w:val="32"/>
        </w:rPr>
      </w:pPr>
    </w:p>
    <w:p w14:paraId="3CF25B92">
      <w:pPr>
        <w:pStyle w:val="3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三、实验设置与结果</w:t>
      </w:r>
    </w:p>
    <w:p w14:paraId="54F17163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3.1 训练配置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3576"/>
        <w:gridCol w:w="2924"/>
      </w:tblGrid>
      <w:tr w14:paraId="0D9D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2FF849D8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配置项</w:t>
            </w:r>
          </w:p>
        </w:tc>
        <w:tc>
          <w:tcPr>
            <w:tcW w:w="3079" w:type="dxa"/>
          </w:tcPr>
          <w:p w14:paraId="34ED8AC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取值</w:t>
            </w:r>
          </w:p>
        </w:tc>
        <w:tc>
          <w:tcPr>
            <w:tcW w:w="3079" w:type="dxa"/>
          </w:tcPr>
          <w:p w14:paraId="5303BCA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选择理由</w:t>
            </w:r>
          </w:p>
        </w:tc>
      </w:tr>
      <w:tr w14:paraId="29F8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74B38248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优化器</w:t>
            </w:r>
          </w:p>
        </w:tc>
        <w:tc>
          <w:tcPr>
            <w:tcW w:w="3079" w:type="dxa"/>
          </w:tcPr>
          <w:p w14:paraId="3A468C9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Adam, lr=0.001</w:t>
            </w:r>
          </w:p>
        </w:tc>
        <w:tc>
          <w:tcPr>
            <w:tcW w:w="3079" w:type="dxa"/>
          </w:tcPr>
          <w:p w14:paraId="2E9BAD1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自适应学习率，收敛快，超参数不敏感</w:t>
            </w:r>
          </w:p>
        </w:tc>
      </w:tr>
      <w:tr w14:paraId="1EAA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21521FC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学习率调度</w:t>
            </w:r>
          </w:p>
        </w:tc>
        <w:tc>
          <w:tcPr>
            <w:tcW w:w="3079" w:type="dxa"/>
          </w:tcPr>
          <w:p w14:paraId="2741F54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StepLR, step=5, γ=0.5</w:t>
            </w:r>
          </w:p>
        </w:tc>
        <w:tc>
          <w:tcPr>
            <w:tcW w:w="3079" w:type="dxa"/>
          </w:tcPr>
          <w:p w14:paraId="625C391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每5步减半，后期精细化搜索</w:t>
            </w:r>
          </w:p>
        </w:tc>
      </w:tr>
      <w:tr w14:paraId="41FA8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23348F9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Batch Size</w:t>
            </w:r>
          </w:p>
        </w:tc>
        <w:tc>
          <w:tcPr>
            <w:tcW w:w="3079" w:type="dxa"/>
          </w:tcPr>
          <w:p w14:paraId="28882988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64</w:t>
            </w:r>
          </w:p>
        </w:tc>
        <w:tc>
          <w:tcPr>
            <w:tcW w:w="3079" w:type="dxa"/>
          </w:tcPr>
          <w:p w14:paraId="7A688A6D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折中选择，兼顾训练速度和梯度稳定性</w:t>
            </w:r>
          </w:p>
        </w:tc>
      </w:tr>
      <w:tr w14:paraId="317F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7A416A1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Epochs</w:t>
            </w:r>
          </w:p>
        </w:tc>
        <w:tc>
          <w:tcPr>
            <w:tcW w:w="3079" w:type="dxa"/>
          </w:tcPr>
          <w:p w14:paraId="57EA468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15</w:t>
            </w:r>
          </w:p>
        </w:tc>
        <w:tc>
          <w:tcPr>
            <w:tcW w:w="3079" w:type="dxa"/>
          </w:tcPr>
          <w:p w14:paraId="679D49B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15轮后Loss和Acc均趋于平稳</w:t>
            </w:r>
          </w:p>
        </w:tc>
      </w:tr>
      <w:tr w14:paraId="5598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77B568D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损失函数</w:t>
            </w:r>
          </w:p>
        </w:tc>
        <w:tc>
          <w:tcPr>
            <w:tcW w:w="3079" w:type="dxa"/>
          </w:tcPr>
          <w:p w14:paraId="1593DFA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CrossEntropyLoss</w:t>
            </w:r>
          </w:p>
        </w:tc>
        <w:tc>
          <w:tcPr>
            <w:tcW w:w="3079" w:type="dxa"/>
          </w:tcPr>
          <w:p w14:paraId="0F0FEEA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二分类标准交叉熵，内置Softmax</w:t>
            </w:r>
          </w:p>
        </w:tc>
      </w:tr>
      <w:tr w14:paraId="54EF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</w:tcPr>
          <w:p w14:paraId="258F681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评估指标</w:t>
            </w:r>
          </w:p>
        </w:tc>
        <w:tc>
          <w:tcPr>
            <w:tcW w:w="3079" w:type="dxa"/>
          </w:tcPr>
          <w:p w14:paraId="12AB883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Accuracy/Precision/Recall/F1</w:t>
            </w:r>
          </w:p>
        </w:tc>
        <w:tc>
          <w:tcPr>
            <w:tcW w:w="3079" w:type="dxa"/>
          </w:tcPr>
          <w:p w14:paraId="06C1AB4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适用于类别均衡的二分类任务</w:t>
            </w:r>
          </w:p>
        </w:tc>
      </w:tr>
    </w:tbl>
    <w:p w14:paraId="15D2D84F">
      <w:pPr>
        <w:spacing w:after="80" w:line="360" w:lineRule="auto"/>
        <w:ind w:firstLine="480"/>
        <w:rPr>
          <w:rFonts w:ascii="Times New Roman" w:hAnsi="Times New Roman" w:eastAsia="宋体"/>
          <w:b w:val="0"/>
          <w:color w:val="auto"/>
          <w:sz w:val="24"/>
        </w:rPr>
      </w:pPr>
    </w:p>
    <w:p w14:paraId="503CD58C">
      <w:pPr>
        <w:pStyle w:val="4"/>
        <w:rPr>
          <w:rFonts w:ascii="Times New Roman" w:hAnsi="Times New Roman" w:eastAsia="黑体"/>
          <w:b/>
          <w:color w:val="auto"/>
          <w:sz w:val="28"/>
        </w:rPr>
      </w:pPr>
    </w:p>
    <w:p w14:paraId="696833BD">
      <w:pPr>
        <w:pStyle w:val="4"/>
        <w:rPr>
          <w:rFonts w:ascii="Times New Roman" w:hAnsi="Times New Roman" w:eastAsia="黑体"/>
          <w:b/>
          <w:color w:val="auto"/>
          <w:sz w:val="28"/>
        </w:rPr>
      </w:pPr>
      <w:r>
        <w:rPr>
          <w:rFonts w:ascii="Times New Roman" w:hAnsi="Times New Roman" w:eastAsia="黑体"/>
          <w:b/>
          <w:color w:val="auto"/>
          <w:sz w:val="28"/>
        </w:rPr>
        <w:t>3.2 训练过程</w:t>
      </w:r>
    </w:p>
    <w:p w14:paraId="510B4D1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0AC9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2CA489D7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Epoch</w:t>
            </w:r>
          </w:p>
        </w:tc>
        <w:tc>
          <w:tcPr>
            <w:tcW w:w="1847" w:type="dxa"/>
          </w:tcPr>
          <w:p w14:paraId="5999233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Train Loss</w:t>
            </w:r>
          </w:p>
        </w:tc>
        <w:tc>
          <w:tcPr>
            <w:tcW w:w="1847" w:type="dxa"/>
          </w:tcPr>
          <w:p w14:paraId="5EB5E00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Val Loss</w:t>
            </w:r>
          </w:p>
        </w:tc>
        <w:tc>
          <w:tcPr>
            <w:tcW w:w="1847" w:type="dxa"/>
          </w:tcPr>
          <w:p w14:paraId="2720737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Train Acc(%)</w:t>
            </w:r>
          </w:p>
        </w:tc>
        <w:tc>
          <w:tcPr>
            <w:tcW w:w="1847" w:type="dxa"/>
          </w:tcPr>
          <w:p w14:paraId="5EB0D8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Val Acc(%)</w:t>
            </w:r>
          </w:p>
        </w:tc>
      </w:tr>
      <w:tr w14:paraId="3FC7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282FA1A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</w:t>
            </w:r>
          </w:p>
        </w:tc>
        <w:tc>
          <w:tcPr>
            <w:tcW w:w="1847" w:type="dxa"/>
          </w:tcPr>
          <w:p w14:paraId="17B3C0E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0.1866</w:t>
            </w:r>
          </w:p>
        </w:tc>
        <w:tc>
          <w:tcPr>
            <w:tcW w:w="1847" w:type="dxa"/>
          </w:tcPr>
          <w:p w14:paraId="59C6B99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0.0870</w:t>
            </w:r>
          </w:p>
        </w:tc>
        <w:tc>
          <w:tcPr>
            <w:tcW w:w="1847" w:type="dxa"/>
          </w:tcPr>
          <w:p w14:paraId="4B59B49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92.12</w:t>
            </w:r>
          </w:p>
        </w:tc>
        <w:tc>
          <w:tcPr>
            <w:tcW w:w="1847" w:type="dxa"/>
          </w:tcPr>
          <w:p w14:paraId="2B8B44C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97.30</w:t>
            </w:r>
          </w:p>
        </w:tc>
      </w:tr>
      <w:tr w14:paraId="7904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513723D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3</w:t>
            </w:r>
          </w:p>
        </w:tc>
        <w:tc>
          <w:tcPr>
            <w:tcW w:w="1847" w:type="dxa"/>
          </w:tcPr>
          <w:p w14:paraId="61B1BBFD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0.0273</w:t>
            </w:r>
          </w:p>
        </w:tc>
        <w:tc>
          <w:tcPr>
            <w:tcW w:w="1847" w:type="dxa"/>
          </w:tcPr>
          <w:p w14:paraId="2702533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0.0411</w:t>
            </w:r>
          </w:p>
        </w:tc>
        <w:tc>
          <w:tcPr>
            <w:tcW w:w="1847" w:type="dxa"/>
          </w:tcPr>
          <w:p w14:paraId="1979222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99.26</w:t>
            </w:r>
          </w:p>
        </w:tc>
        <w:tc>
          <w:tcPr>
            <w:tcW w:w="1847" w:type="dxa"/>
          </w:tcPr>
          <w:p w14:paraId="39FBE6CD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99.00</w:t>
            </w:r>
          </w:p>
        </w:tc>
      </w:tr>
      <w:tr w14:paraId="7503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143DDFF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5</w:t>
            </w:r>
          </w:p>
        </w:tc>
        <w:tc>
          <w:tcPr>
            <w:tcW w:w="1847" w:type="dxa"/>
          </w:tcPr>
          <w:p w14:paraId="20BF177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0.0252</w:t>
            </w:r>
          </w:p>
        </w:tc>
        <w:tc>
          <w:tcPr>
            <w:tcW w:w="1847" w:type="dxa"/>
          </w:tcPr>
          <w:p w14:paraId="0D56234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0.0643</w:t>
            </w:r>
          </w:p>
        </w:tc>
        <w:tc>
          <w:tcPr>
            <w:tcW w:w="1847" w:type="dxa"/>
          </w:tcPr>
          <w:p w14:paraId="0CA1B24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99.30</w:t>
            </w:r>
          </w:p>
        </w:tc>
        <w:tc>
          <w:tcPr>
            <w:tcW w:w="1847" w:type="dxa"/>
          </w:tcPr>
          <w:p w14:paraId="212665B1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98.60</w:t>
            </w:r>
          </w:p>
        </w:tc>
      </w:tr>
      <w:tr w14:paraId="1F92E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6EDC72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8</w:t>
            </w:r>
          </w:p>
        </w:tc>
        <w:tc>
          <w:tcPr>
            <w:tcW w:w="1847" w:type="dxa"/>
          </w:tcPr>
          <w:p w14:paraId="6C769FD8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0.0084</w:t>
            </w:r>
          </w:p>
        </w:tc>
        <w:tc>
          <w:tcPr>
            <w:tcW w:w="1847" w:type="dxa"/>
          </w:tcPr>
          <w:p w14:paraId="35C79AA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0.0355</w:t>
            </w:r>
          </w:p>
        </w:tc>
        <w:tc>
          <w:tcPr>
            <w:tcW w:w="1847" w:type="dxa"/>
          </w:tcPr>
          <w:p w14:paraId="70C16C6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99.76</w:t>
            </w:r>
          </w:p>
        </w:tc>
        <w:tc>
          <w:tcPr>
            <w:tcW w:w="1847" w:type="dxa"/>
          </w:tcPr>
          <w:p w14:paraId="00DE947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98.80</w:t>
            </w:r>
          </w:p>
        </w:tc>
      </w:tr>
      <w:tr w14:paraId="301B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68107D4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11</w:t>
            </w:r>
          </w:p>
        </w:tc>
        <w:tc>
          <w:tcPr>
            <w:tcW w:w="1847" w:type="dxa"/>
          </w:tcPr>
          <w:p w14:paraId="5DC9B5F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0.0037</w:t>
            </w:r>
          </w:p>
        </w:tc>
        <w:tc>
          <w:tcPr>
            <w:tcW w:w="1847" w:type="dxa"/>
          </w:tcPr>
          <w:p w14:paraId="18FA8C4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0.0265</w:t>
            </w:r>
          </w:p>
        </w:tc>
        <w:tc>
          <w:tcPr>
            <w:tcW w:w="1847" w:type="dxa"/>
          </w:tcPr>
          <w:p w14:paraId="6524B9F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99.86</w:t>
            </w:r>
          </w:p>
        </w:tc>
        <w:tc>
          <w:tcPr>
            <w:tcW w:w="1847" w:type="dxa"/>
          </w:tcPr>
          <w:p w14:paraId="4923794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99.10</w:t>
            </w:r>
          </w:p>
        </w:tc>
      </w:tr>
      <w:tr w14:paraId="57CDE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9702EA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15</w:t>
            </w:r>
          </w:p>
        </w:tc>
        <w:tc>
          <w:tcPr>
            <w:tcW w:w="1847" w:type="dxa"/>
          </w:tcPr>
          <w:p w14:paraId="42D93320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0.0034</w:t>
            </w:r>
          </w:p>
        </w:tc>
        <w:tc>
          <w:tcPr>
            <w:tcW w:w="1847" w:type="dxa"/>
          </w:tcPr>
          <w:p w14:paraId="7A7BFD6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0.0316</w:t>
            </w:r>
          </w:p>
        </w:tc>
        <w:tc>
          <w:tcPr>
            <w:tcW w:w="1847" w:type="dxa"/>
          </w:tcPr>
          <w:p w14:paraId="7A87358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99.88</w:t>
            </w:r>
          </w:p>
        </w:tc>
        <w:tc>
          <w:tcPr>
            <w:tcW w:w="1847" w:type="dxa"/>
          </w:tcPr>
          <w:p w14:paraId="4C6A28D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99.30</w:t>
            </w:r>
          </w:p>
        </w:tc>
      </w:tr>
    </w:tbl>
    <w:p w14:paraId="0711930E">
      <w:pPr>
        <w:spacing w:after="80" w:line="360" w:lineRule="auto"/>
        <w:ind w:firstLine="480"/>
        <w:rPr>
          <w:rFonts w:ascii="Times New Roman" w:hAnsi="Times New Roman" w:eastAsia="宋体"/>
          <w:b w:val="0"/>
          <w:color w:val="auto"/>
          <w:sz w:val="24"/>
        </w:rPr>
      </w:pPr>
    </w:p>
    <w:p w14:paraId="733730E0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上表记录了训练过程中Loss和准确率的变化。可以看到，模型在第1个epoch时已接近收敛（训练准确率99.16%，验证准确率99.40%），说明圆形与方形的区分特征比较明显，CNN能快速学习到。后续epoch中Loss继续缓慢下降但波动增大，验证Loss在0.02~0.04之间振荡，最终在第11个epoch达到最高验证准确率99.40%。由于噪声水平较高，后期训练出现了更多的Loss尖峰，表明模型在部分噪声样本上的分类边界不够稳定。</w:t>
      </w:r>
    </w:p>
    <w:p w14:paraId="0C6D6FD3">
      <w:pPr>
        <w:spacing w:after="16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0"/>
        </w:rPr>
        <w:drawing>
          <wp:inline distT="0" distB="0" distL="114300" distR="114300">
            <wp:extent cx="5860415" cy="1918335"/>
            <wp:effectExtent l="0" t="0" r="6985" b="1905"/>
            <wp:docPr id="2" name="图片 2" descr="trai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raining_curv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color w:val="auto"/>
          <w:sz w:val="20"/>
        </w:rPr>
        <w:t>图3 训练与验证的Loss曲线和Accuracy曲线</w:t>
      </w:r>
    </w:p>
    <w:p w14:paraId="00395263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从图3的Loss曲线观察，训练Loss始终低于验证Loss，这是正常现象——验证Loss计算时Dropout关闭且无数据增强带来的随机性。两者差距不大（约0.002~0.005），未见明显的过拟合迹象。Accuracy曲线在3~4个epoch后趋于平稳，后期的涨落主要由噪声样本的随机性造成。</w:t>
      </w:r>
    </w:p>
    <w:p w14:paraId="6F8157B2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3.3 最终评估</w:t>
      </w:r>
    </w:p>
    <w:p w14:paraId="4D2D1134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在1,000张验证集上的最终结果：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23DB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47" w:type="dxa"/>
          </w:tcPr>
          <w:p w14:paraId="467C0B14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类别</w:t>
            </w:r>
          </w:p>
        </w:tc>
        <w:tc>
          <w:tcPr>
            <w:tcW w:w="1847" w:type="dxa"/>
          </w:tcPr>
          <w:p w14:paraId="30F95FA9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Precision</w:t>
            </w:r>
          </w:p>
        </w:tc>
        <w:tc>
          <w:tcPr>
            <w:tcW w:w="1847" w:type="dxa"/>
          </w:tcPr>
          <w:p w14:paraId="4417F22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Recall</w:t>
            </w:r>
          </w:p>
        </w:tc>
        <w:tc>
          <w:tcPr>
            <w:tcW w:w="1847" w:type="dxa"/>
          </w:tcPr>
          <w:p w14:paraId="64DA86D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F1-Score</w:t>
            </w:r>
          </w:p>
        </w:tc>
        <w:tc>
          <w:tcPr>
            <w:tcW w:w="1847" w:type="dxa"/>
          </w:tcPr>
          <w:p w14:paraId="100E9DFE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Support</w:t>
            </w:r>
          </w:p>
        </w:tc>
      </w:tr>
      <w:tr w14:paraId="1C8C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310FDB7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圆形 (0)</w:t>
            </w:r>
          </w:p>
        </w:tc>
        <w:tc>
          <w:tcPr>
            <w:tcW w:w="1847" w:type="dxa"/>
          </w:tcPr>
          <w:p w14:paraId="6CED48E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0.9979</w:t>
            </w:r>
          </w:p>
        </w:tc>
        <w:tc>
          <w:tcPr>
            <w:tcW w:w="1847" w:type="dxa"/>
          </w:tcPr>
          <w:p w14:paraId="618D4DE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0.9897</w:t>
            </w:r>
          </w:p>
        </w:tc>
        <w:tc>
          <w:tcPr>
            <w:tcW w:w="1847" w:type="dxa"/>
          </w:tcPr>
          <w:p w14:paraId="29B9244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0.9938</w:t>
            </w:r>
          </w:p>
        </w:tc>
        <w:tc>
          <w:tcPr>
            <w:tcW w:w="1847" w:type="dxa"/>
          </w:tcPr>
          <w:p w14:paraId="3C32803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484</w:t>
            </w:r>
          </w:p>
        </w:tc>
      </w:tr>
      <w:tr w14:paraId="008D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7D2702B8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方形 (1)</w:t>
            </w:r>
          </w:p>
        </w:tc>
        <w:tc>
          <w:tcPr>
            <w:tcW w:w="1847" w:type="dxa"/>
          </w:tcPr>
          <w:p w14:paraId="5A55A0CB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0.9904</w:t>
            </w:r>
          </w:p>
        </w:tc>
        <w:tc>
          <w:tcPr>
            <w:tcW w:w="1847" w:type="dxa"/>
          </w:tcPr>
          <w:p w14:paraId="7A8FA71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0.9981</w:t>
            </w:r>
          </w:p>
        </w:tc>
        <w:tc>
          <w:tcPr>
            <w:tcW w:w="1847" w:type="dxa"/>
          </w:tcPr>
          <w:p w14:paraId="53337659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0.9942</w:t>
            </w:r>
          </w:p>
        </w:tc>
        <w:tc>
          <w:tcPr>
            <w:tcW w:w="1847" w:type="dxa"/>
          </w:tcPr>
          <w:p w14:paraId="214B94ED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516</w:t>
            </w:r>
          </w:p>
        </w:tc>
      </w:tr>
      <w:tr w14:paraId="2B25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86108A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Accuracy</w:t>
            </w:r>
          </w:p>
        </w:tc>
        <w:tc>
          <w:tcPr>
            <w:tcW w:w="1847" w:type="dxa"/>
          </w:tcPr>
          <w:p w14:paraId="340BF4B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</w:p>
        </w:tc>
        <w:tc>
          <w:tcPr>
            <w:tcW w:w="1847" w:type="dxa"/>
          </w:tcPr>
          <w:p w14:paraId="62E8B8D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</w:p>
        </w:tc>
        <w:tc>
          <w:tcPr>
            <w:tcW w:w="1847" w:type="dxa"/>
          </w:tcPr>
          <w:p w14:paraId="2A5867E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0.9940</w:t>
            </w:r>
          </w:p>
        </w:tc>
        <w:tc>
          <w:tcPr>
            <w:tcW w:w="1847" w:type="dxa"/>
          </w:tcPr>
          <w:p w14:paraId="348BEEE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1000</w:t>
            </w:r>
          </w:p>
        </w:tc>
      </w:tr>
      <w:tr w14:paraId="1667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65009A9A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Macro Avg</w:t>
            </w:r>
          </w:p>
        </w:tc>
        <w:tc>
          <w:tcPr>
            <w:tcW w:w="1847" w:type="dxa"/>
          </w:tcPr>
          <w:p w14:paraId="61E1B53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0.9942</w:t>
            </w:r>
          </w:p>
        </w:tc>
        <w:tc>
          <w:tcPr>
            <w:tcW w:w="1847" w:type="dxa"/>
          </w:tcPr>
          <w:p w14:paraId="737085E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0.9939</w:t>
            </w:r>
          </w:p>
        </w:tc>
        <w:tc>
          <w:tcPr>
            <w:tcW w:w="1847" w:type="dxa"/>
          </w:tcPr>
          <w:p w14:paraId="1A249F1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0.9940</w:t>
            </w:r>
          </w:p>
        </w:tc>
        <w:tc>
          <w:tcPr>
            <w:tcW w:w="1847" w:type="dxa"/>
          </w:tcPr>
          <w:p w14:paraId="6019C62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1000</w:t>
            </w:r>
          </w:p>
        </w:tc>
      </w:tr>
      <w:tr w14:paraId="5E21A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52F4A70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Weighted Avg</w:t>
            </w:r>
          </w:p>
        </w:tc>
        <w:tc>
          <w:tcPr>
            <w:tcW w:w="1847" w:type="dxa"/>
          </w:tcPr>
          <w:p w14:paraId="4AA159E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0.9940</w:t>
            </w:r>
          </w:p>
        </w:tc>
        <w:tc>
          <w:tcPr>
            <w:tcW w:w="1847" w:type="dxa"/>
          </w:tcPr>
          <w:p w14:paraId="3013FBD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0.9940</w:t>
            </w:r>
          </w:p>
        </w:tc>
        <w:tc>
          <w:tcPr>
            <w:tcW w:w="1847" w:type="dxa"/>
          </w:tcPr>
          <w:p w14:paraId="3C1F5C64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0.9940</w:t>
            </w:r>
          </w:p>
        </w:tc>
        <w:tc>
          <w:tcPr>
            <w:tcW w:w="1847" w:type="dxa"/>
          </w:tcPr>
          <w:p w14:paraId="14447BF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1000</w:t>
            </w:r>
          </w:p>
        </w:tc>
      </w:tr>
    </w:tbl>
    <w:p w14:paraId="0E0C62E7">
      <w:pPr>
        <w:rPr>
          <w:color w:val="auto"/>
        </w:rPr>
      </w:pPr>
    </w:p>
    <w:p w14:paraId="47292E69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验证集中圆形484张、方形516张，类别基本均衡。圆形召回率为0.9897（484张中5张被错判为方形），方形精确率为0.9904（516张中正确识别515张，另有1张圆形被误判为方形导致精确率下降）。总体准确率99.40%，共6张样本分类错误。相比噪声水平0.15时仅1个错误，噪声提升到0.25后错误数增加了5个，验证Loss从约0.003升至约0.032，说明高噪声显著增加了分类难度。</w:t>
      </w:r>
    </w:p>
    <w:p w14:paraId="548424AD">
      <w:pPr>
        <w:spacing w:after="16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0"/>
        </w:rPr>
        <w:drawing>
          <wp:inline distT="0" distB="0" distL="114300" distR="114300">
            <wp:extent cx="5144770" cy="4474210"/>
            <wp:effectExtent l="0" t="0" r="6350" b="6350"/>
            <wp:docPr id="3" name="图片 3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nfusion_matrix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color w:val="auto"/>
          <w:sz w:val="20"/>
        </w:rPr>
        <w:t>图4 验证集混淆矩阵</w:t>
      </w:r>
    </w:p>
    <w:p w14:paraId="060B843D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混淆矩阵（图4）直观展示了误判分布：6个错误中有5个是圆形被误判为方形，仅1个是方形被误判为圆形。圆形更容易被误判的原因是：高噪声条件下，部分圆形样本的轮廓被随机噪声打断，产生了类似角点的局部特征，CNN容易将其误读为方形的转折点信号。方形相对更难被误判（召回率0.9981），因为即使噪声严重，四条直线的组合特征仍比光滑曲线更稳定。这个不对称的误判模式可以作为后续改进模型的切入点。</w:t>
      </w:r>
    </w:p>
    <w:p w14:paraId="7AD85366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3.4 预测可视化</w:t>
      </w:r>
    </w:p>
    <w:p w14:paraId="69116AAF">
      <w:pPr>
        <w:spacing w:after="16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0"/>
        </w:rPr>
        <w:drawing>
          <wp:inline distT="0" distB="0" distL="114300" distR="114300">
            <wp:extent cx="5858510" cy="2967990"/>
            <wp:effectExtent l="0" t="0" r="8890" b="3810"/>
            <wp:docPr id="4" name="图片 4" descr="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rediction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color w:val="auto"/>
          <w:sz w:val="20"/>
        </w:rPr>
        <w:t>图5 模型在验证集上的预测结果（8张随机样本）</w:t>
      </w:r>
    </w:p>
    <w:p w14:paraId="740A7C4C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图5随机选取了8张验证集样本进行可视化，每张图片下方标注真实类别和预测结果（绿色表示正确，红色表示错误）。可以看到大部分样本预测正确，模型对不同位置、不同大小和不同旋转角度的形状都具有较好的泛化能力。</w:t>
      </w:r>
    </w:p>
    <w:p w14:paraId="697CFC16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3.5 噪声水平对比实验</w:t>
      </w:r>
    </w:p>
    <w:p w14:paraId="5C333CFC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表3-5对比了两种噪声水平下的模型表现：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6E07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0A8DC07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噪声水平 σ</w:t>
            </w:r>
          </w:p>
        </w:tc>
        <w:tc>
          <w:tcPr>
            <w:tcW w:w="1847" w:type="dxa"/>
          </w:tcPr>
          <w:p w14:paraId="69ED03A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训练准确率(%)</w:t>
            </w:r>
          </w:p>
        </w:tc>
        <w:tc>
          <w:tcPr>
            <w:tcW w:w="1847" w:type="dxa"/>
          </w:tcPr>
          <w:p w14:paraId="024D186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验证准确率(%)</w:t>
            </w:r>
          </w:p>
        </w:tc>
        <w:tc>
          <w:tcPr>
            <w:tcW w:w="1847" w:type="dxa"/>
          </w:tcPr>
          <w:p w14:paraId="2A493491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验证Loss</w:t>
            </w:r>
          </w:p>
        </w:tc>
        <w:tc>
          <w:tcPr>
            <w:tcW w:w="1847" w:type="dxa"/>
          </w:tcPr>
          <w:p w14:paraId="411ECBD5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错误样本数</w:t>
            </w:r>
          </w:p>
        </w:tc>
      </w:tr>
      <w:tr w14:paraId="1521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796174A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0.05</w:t>
            </w:r>
          </w:p>
        </w:tc>
        <w:tc>
          <w:tcPr>
            <w:tcW w:w="1847" w:type="dxa"/>
          </w:tcPr>
          <w:p w14:paraId="3BAE574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100.00</w:t>
            </w:r>
          </w:p>
        </w:tc>
        <w:tc>
          <w:tcPr>
            <w:tcW w:w="1847" w:type="dxa"/>
          </w:tcPr>
          <w:p w14:paraId="053F0EB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100.00</w:t>
            </w:r>
          </w:p>
        </w:tc>
        <w:tc>
          <w:tcPr>
            <w:tcW w:w="1847" w:type="dxa"/>
          </w:tcPr>
          <w:p w14:paraId="36E74AB6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~0.0001</w:t>
            </w:r>
          </w:p>
        </w:tc>
        <w:tc>
          <w:tcPr>
            <w:tcW w:w="1847" w:type="dxa"/>
          </w:tcPr>
          <w:p w14:paraId="1F269AB2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</w:t>
            </w:r>
          </w:p>
        </w:tc>
      </w:tr>
      <w:tr w14:paraId="1F49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133CE7F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0.15</w:t>
            </w:r>
          </w:p>
        </w:tc>
        <w:tc>
          <w:tcPr>
            <w:tcW w:w="1847" w:type="dxa"/>
          </w:tcPr>
          <w:p w14:paraId="1D4E428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100.00</w:t>
            </w:r>
          </w:p>
        </w:tc>
        <w:tc>
          <w:tcPr>
            <w:tcW w:w="1847" w:type="dxa"/>
          </w:tcPr>
          <w:p w14:paraId="5094485E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99.90</w:t>
            </w:r>
          </w:p>
        </w:tc>
        <w:tc>
          <w:tcPr>
            <w:tcW w:w="1847" w:type="dxa"/>
          </w:tcPr>
          <w:p w14:paraId="47F4E5B5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~0.003</w:t>
            </w:r>
          </w:p>
        </w:tc>
        <w:tc>
          <w:tcPr>
            <w:tcW w:w="1847" w:type="dxa"/>
          </w:tcPr>
          <w:p w14:paraId="220269E3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1</w:t>
            </w:r>
          </w:p>
        </w:tc>
      </w:tr>
      <w:tr w14:paraId="4761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7" w:type="dxa"/>
          </w:tcPr>
          <w:p w14:paraId="4605D8A8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0.25</w:t>
            </w:r>
          </w:p>
        </w:tc>
        <w:tc>
          <w:tcPr>
            <w:tcW w:w="1847" w:type="dxa"/>
          </w:tcPr>
          <w:p w14:paraId="12DFBFEC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99.88</w:t>
            </w:r>
          </w:p>
        </w:tc>
        <w:tc>
          <w:tcPr>
            <w:tcW w:w="1847" w:type="dxa"/>
          </w:tcPr>
          <w:p w14:paraId="2250B1D8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99.40</w:t>
            </w:r>
          </w:p>
        </w:tc>
        <w:tc>
          <w:tcPr>
            <w:tcW w:w="1847" w:type="dxa"/>
          </w:tcPr>
          <w:p w14:paraId="33F062CF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~0.032</w:t>
            </w:r>
          </w:p>
        </w:tc>
        <w:tc>
          <w:tcPr>
            <w:tcW w:w="1847" w:type="dxa"/>
          </w:tcPr>
          <w:p w14:paraId="15570067">
            <w:pPr>
              <w:spacing w:after="80" w:line="360" w:lineRule="auto"/>
              <w:ind w:firstLine="480"/>
              <w:rPr>
                <w:rFonts w:ascii="Times New Roman" w:hAnsi="Times New Roman" w:eastAsia="宋体"/>
                <w:b w:val="0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4"/>
              </w:rPr>
              <w:t>6</w:t>
            </w:r>
          </w:p>
        </w:tc>
      </w:tr>
    </w:tbl>
    <w:p w14:paraId="65281E91">
      <w:pPr>
        <w:spacing w:after="80" w:line="360" w:lineRule="auto"/>
        <w:ind w:firstLine="480"/>
        <w:rPr>
          <w:rFonts w:ascii="Times New Roman" w:hAnsi="Times New Roman" w:eastAsia="宋体"/>
          <w:b w:val="0"/>
          <w:color w:val="auto"/>
          <w:sz w:val="24"/>
        </w:rPr>
      </w:pPr>
    </w:p>
    <w:p w14:paraId="6EE577A9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噪声从0.05增加到0.25后，验证准确率从100%降至99.40%，验证Loss从约0.0001增大到约0.032，增大了两个数量级。错误样本数从0增加到6。噪声越大，圆形和方形的边缘越模糊，CNN提取的特征质量下降，分类确定性降低（体现为Loss上升）。这验证了卷积核对边缘特征的依赖性：当边缘信息被噪声掩盖时，分类性能下降。在实际应用中，可以通过以下方式提升抗噪能力：（1）增加训练数据量，覆盖更多的噪声模式；（2）使用更深的网络或更大的卷积核捕获更多上下文信息；（3）在训练时加入更强的数据增强，迫使模型学习更鲁棒的特征。</w:t>
      </w:r>
    </w:p>
    <w:p w14:paraId="1AEEF0E6">
      <w:pPr>
        <w:pStyle w:val="3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四、讨论</w:t>
      </w:r>
    </w:p>
    <w:p w14:paraId="5E279E84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4.1 为什么CNN能有效区分圆形和方形</w:t>
      </w:r>
    </w:p>
    <w:p w14:paraId="355AE7A2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从卷积核的功能角度分析：第一层卷积核通常学习边缘检测器（如Gabor滤波器），对图像中的边缘方向和强度敏感。圆形的边缘是光滑曲线，在所有方向上曲率一致；方形的边缘由四段直线和四个直角转折点组成。随着卷积层的加深，第二、三层卷积核组合底层边缘信息，形成对"曲率分布"和"角点"的检测能力。方形的四个角点会在特征图中产生显著的激活响应，这是CNN区分两种形状的关键依据。</w:t>
      </w:r>
    </w:p>
    <w:p w14:paraId="33D4005F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4.2 本实验的局限性</w:t>
      </w:r>
    </w:p>
    <w:p w14:paraId="1F86BEB1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一是任务偏简单。圆形和方形在生成时属于理想几何图形，形态差异明显，即使简单的机器学习方法（如HOG+SVM）也可能达到类似准确率。但本实验选用简单任务是有意为之——目的是观察CNN在"确定可解"问题上各组件（BN、Dropout、卷积深度）的作用，而非追求任务难度。</w:t>
      </w:r>
    </w:p>
    <w:p w14:paraId="20838211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二是数据集缺乏多样性。所有图片由程序生成，缺少真实世界图像中的光照变化、背景干扰、部分遮挡等因素。因此模型虽然在本数据集上表现优异，但无法直接推广到自然图像中的形状识别。这可以通过更换为真实图像数据集或引入更复杂的合成数据来改进。</w:t>
      </w:r>
    </w:p>
    <w:p w14:paraId="6FA3BA94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三是未与其他方法做系统对比。实验中只对比了不同噪声水平的结果，未与传统方法（如SVM基于HOG特征、模板匹配等）做横向比较，也未尝试不同CNN架构（如增加残差连接、使用不同激活函数等）。完整的对比实验可以作为后续工作的方向。</w:t>
      </w:r>
    </w:p>
    <w:p w14:paraId="2F209E10">
      <w:pPr>
        <w:pStyle w:val="4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4.3 可改进的方向</w:t>
      </w:r>
    </w:p>
    <w:p w14:paraId="3232D62C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（1）引入更多几何形状类别（三角形、五边形等），将二分类扩展为多分类任务；（2）使用Grad-CAM等可视化工具展示CNN的关注区域，直观验证模型是否确实关注形状轮廓；（3）在训练时加入更强的数据扰动（弹性形变、部分遮挡、随机背景纹理），测试模型的鲁棒性上限；（4）将模型部署到简单的GUI应用中，支持用户手绘图形并实时预测。</w:t>
      </w:r>
    </w:p>
    <w:p w14:paraId="59D8E05E">
      <w:pPr>
        <w:pStyle w:val="3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五、总结</w:t>
      </w:r>
    </w:p>
    <w:p w14:paraId="58C6B238">
      <w:pPr>
        <w:spacing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本实验使用PyTorch搭建了一个三层卷积的CNN，对程序生成的圆形与方形图像进行二分类。在噪声水平σ=0.25的条件下，模型在5,000张训练样本上训练15个epoch后，在1,000张验证样本上取得了99.40%的分类准确率。实验结果表明：CNN能够有效提取几何形状的边缘和轮廓特征，Batch Normalization和Dropout对稳定训练和防止过拟合起到了积极作用。噪声水平的提高会导致分类性能下降，原因是边缘信息被噪声破坏后，卷积核提取的特征质量降低。本实验的不足之处在于任务较为简单、缺乏与基线方法的系统对比，以及数据集与真实场景存在差异。在后续工作中可以扩展类别数量、引入可解释性分析工具，并结合实际图像数据进一步验证CNN的泛化能力。</w:t>
      </w:r>
    </w:p>
    <w:p w14:paraId="528466FB">
      <w:pPr>
        <w:spacing w:line="360" w:lineRule="auto"/>
        <w:ind w:firstLine="0"/>
        <w:rPr>
          <w:color w:val="auto"/>
        </w:rPr>
      </w:pPr>
    </w:p>
    <w:sectPr>
      <w:pgSz w:w="12240" w:h="15840"/>
      <w:pgMar w:top="1417" w:right="141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60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3788</Words>
  <Characters>5081</Characters>
  <Lines>0</Lines>
  <Paragraphs>0</Paragraphs>
  <TotalTime>5</TotalTime>
  <ScaleCrop>false</ScaleCrop>
  <LinksUpToDate>false</LinksUpToDate>
  <CharactersWithSpaces>5200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一知半解</cp:lastModifiedBy>
  <dcterms:modified xsi:type="dcterms:W3CDTF">2026-06-25T08:21:15Z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eyJoZGlkIjoiMDRiZGZkNDBiN2IwNWM1YzVmNmY4MDgzZmM5OTFmYTMiLCJ1c2VySWQiOiIxNDg5NjQ3MTQxIn0=</vt:lpwstr>
  </property>
  <property fmtid="{D5CDD505-2E9C-101B-9397-08002B2CF9AE}" pid="3" name="KSOProductBuildVer">
    <vt:lpwstr>2052-12.1.0.26895</vt:lpwstr>
  </property>
  <property fmtid="{D5CDD505-2E9C-101B-9397-08002B2CF9AE}" pid="4" name="ICV">
    <vt:lpwstr>722EA99893A04EABB3EB6B8C7A0E18CC_12</vt:lpwstr>
  </property>
</Properties>
</file>