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200"/>
        <w:pBdr>
          <w:bottom w:val="single" w:sz="8" w:space="8" w:color="BFBFBF"/>
        </w:pBdr>
      </w:pPr>
      <w:r>
        <w:rPr>
          <w:rFonts w:ascii="黑体" w:hAnsi="黑体" w:eastAsia="黑体"/>
          <w:b/>
          <w:color w:val="000000"/>
          <w:sz w:val="40"/>
          <w:lang w:val="en-US" w:eastAsia="zh-CN"/>
        </w:rPr>
        <w:t>文档索引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状态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project-intro.md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项目介绍：背景、范围、选型理由、指标、里程碑、已知限制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architecture.md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项目框架：双控分工、硬件拓扑、软件分层、数据流、部署、构建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software-design.md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软件结构：包划分、接口、状态机、并发、错误处理、参数管理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protocol.md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串口协议：帧格式、命令字、CRC、超时、故障码、测试向量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 草稿，实现中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commit-convention.md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提交规范：type/scope、拆分粒度、分支、标签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coding-style.md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编码规范：命名、单位、错误处理、ISR 约束、格式化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testing.md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自测规范：测试分层、故障注入、发版检查清单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ai-usage.md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AI 使用说明：使用边界、验证要求、记录方式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v1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维护约定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1. </w:t>
      </w:r>
      <w:r>
        <w:rPr>
          <w:rFonts w:ascii="Times New Roman" w:hAnsi="Times New Roman" w:eastAsia="宋体"/>
          <w:b/>
          <w:sz w:val="21"/>
          <w:lang w:val="en-US" w:eastAsia="zh-CN"/>
        </w:rPr>
        <w:t xml:space="preserve">协议变更时，代码与 </w:t>
      </w:r>
      <w:r>
        <w:rPr>
          <w:rFonts w:ascii="Consolas" w:hAnsi="Consolas" w:eastAsia="宋体"/>
          <w:b/>
          <w:sz w:val="20"/>
          <w:lang w:val="en-US" w:eastAsia="zh-CN"/>
        </w:rPr>
        <w:t>protocol.md</w:t>
      </w:r>
      <w:r>
        <w:rPr>
          <w:rFonts w:ascii="Times New Roman" w:hAnsi="Times New Roman" w:eastAsia="宋体"/>
          <w:b/>
          <w:sz w:val="21"/>
          <w:lang w:val="en-US" w:eastAsia="zh-CN"/>
        </w:rPr>
        <w:t xml:space="preserve"> 在同一个提交里修改。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2.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实测数据填入 </w:t>
      </w:r>
      <w:r>
        <w:rPr>
          <w:rFonts w:ascii="Consolas" w:hAnsi="Consolas" w:eastAsia="宋体"/>
          <w:b w:val="0"/>
          <w:sz w:val="20"/>
          <w:lang w:val="en-US" w:eastAsia="zh-CN"/>
        </w:rPr>
        <w:t>project-intro.md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 的指标表，</w:t>
      </w:r>
      <w:r>
        <w:rPr>
          <w:rFonts w:ascii="Times New Roman" w:hAnsi="Times New Roman" w:eastAsia="宋体"/>
          <w:b/>
          <w:sz w:val="21"/>
          <w:lang w:val="en-US" w:eastAsia="zh-CN"/>
        </w:rPr>
        <w:t>未测的保持"待测"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，不填估计值。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3.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架构或接口有调整时，同步更新 </w:t>
      </w:r>
      <w:r>
        <w:rPr>
          <w:rFonts w:ascii="Consolas" w:hAnsi="Consolas" w:eastAsia="宋体"/>
          <w:b w:val="0"/>
          <w:sz w:val="20"/>
          <w:lang w:val="en-US" w:eastAsia="zh-CN"/>
        </w:rPr>
        <w:t>architecture.md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 / </w:t>
      </w:r>
      <w:r>
        <w:rPr>
          <w:rFonts w:ascii="Consolas" w:hAnsi="Consolas" w:eastAsia="宋体"/>
          <w:b w:val="0"/>
          <w:sz w:val="20"/>
          <w:lang w:val="en-US" w:eastAsia="zh-CN"/>
        </w:rPr>
        <w:t>software-design.md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4.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文档里的设计决定都写了理由。如果发现某条理由已经不成立，直接改掉并说明原因。</w:t>
      </w:r>
    </w:p>
    <w:sectPr w:rsidR="00FC693F" w:rsidRPr="0006063C" w:rsidSect="00034616">
      <w:footerReference w:type="default" r:id="rId9"/>
      <w:pgSz w:w="11906" w:h="16838"/>
      <w:pgMar w:top="141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7"/>
        <w:lang w:val="en-US" w:eastAsia="zh-CN"/>
      </w:rPr>
      <w:t xml:space="preserve">文档索引  ·  Mobile-Manipulator  ·  2026-10-28  ·  第 </w:t>
    </w:r>
    <w:r>
      <w:rPr>
        <w:rFonts w:ascii="Times New Roman" w:hAnsi="Times New Roman" w:eastAsia="宋体"/>
        <w:color w:val="808080"/>
        <w:sz w:val="17"/>
        <w:lang w:val="en-US" w:eastAsia="zh-CN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7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文档索引</dc:title>
  <dc:subject>Mobile-Manipulator 项目文档</dc:subject>
  <dc:creator>wuying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